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id w:val="-1756272602"/>
        <w:docPartObj>
          <w:docPartGallery w:val="autotext"/>
        </w:docPartObj>
      </w:sdtPr>
      <w:sdtEndPr>
        <w:rPr>
          <w:rFonts w:ascii="微软雅黑" w:hAnsi="微软雅黑" w:eastAsia="微软雅黑"/>
        </w:rPr>
      </w:sdtEndPr>
      <w:sdtContent>
        <w:p>
          <w:r>
            <w:rPr>
              <w:w w:val="0"/>
              <w:highlight w:val="black"/>
              <w:bdr w:val="single" w:color="000000" w:sz="0" w:space="0"/>
            </w:rPr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-19050</wp:posOffset>
                </wp:positionH>
                <wp:positionV relativeFrom="page">
                  <wp:posOffset>28575</wp:posOffset>
                </wp:positionV>
                <wp:extent cx="7727950" cy="10810875"/>
                <wp:effectExtent l="0" t="0" r="6985" b="0"/>
                <wp:wrapNone/>
                <wp:docPr id="1028" name="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8" name="1028"/>
                        <pic:cNvPicPr/>
                      </pic:nvPicPr>
                      <pic:blipFill>
                        <a:blip r:embed="rId5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30551" cy="1081472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>
          <w:pPr>
            <w:widowControl/>
            <w:jc w:val="left"/>
          </w:pPr>
          <w:r>
            <w:br w:type="page"/>
          </w:r>
        </w:p>
        <w:p>
          <w:pPr>
            <w:widowControl/>
            <w:jc w:val="center"/>
            <w:outlineLvl w:val="3"/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</w:pPr>
          <w:bookmarkStart w:id="0" w:name="_Toc25957"/>
          <w:bookmarkStart w:id="1" w:name="_Toc2605"/>
          <w:bookmarkStart w:id="2" w:name="_Toc11410"/>
          <w:r>
            <w:rPr>
              <w:rFonts w:hint="eastAsia" w:ascii="微软雅黑" w:hAnsi="微软雅黑" w:eastAsia="微软雅黑" w:cs="微软雅黑"/>
              <w:sz w:val="32"/>
              <w:szCs w:val="32"/>
              <w:lang w:val="en-US" w:eastAsia="zh-CN"/>
            </w:rPr>
            <w:t>目录</w:t>
          </w:r>
          <w:bookmarkEnd w:id="0"/>
          <w:bookmarkEnd w:id="1"/>
          <w:bookmarkEnd w:id="2"/>
        </w:p>
        <w:p>
          <w:pPr>
            <w:pStyle w:val="12"/>
            <w:tabs>
              <w:tab w:val="right" w:leader="dot" w:pos="8306"/>
            </w:tabs>
            <w:ind w:left="0" w:leftChars="0" w:firstLine="0" w:firstLineChars="0"/>
          </w:pPr>
          <w:r>
            <w:fldChar w:fldCharType="begin"/>
          </w:r>
          <w:r>
            <w:instrText xml:space="preserve">TOC \o "1-4" \h \u </w:instrText>
          </w:r>
          <w:r>
            <w:fldChar w:fldCharType="separate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_Toc4259 </w:instrText>
          </w:r>
          <w:r>
            <w:fldChar w:fldCharType="separate"/>
          </w:r>
          <w:r>
            <w:rPr>
              <w:rFonts w:hint="eastAsia" w:ascii="微软雅黑" w:hAnsi="微软雅黑"/>
              <w:szCs w:val="30"/>
            </w:rPr>
            <w:t xml:space="preserve">1 </w:t>
          </w:r>
          <w:r>
            <w:rPr>
              <w:rFonts w:hint="eastAsia"/>
              <w:bCs w:val="0"/>
              <w:szCs w:val="30"/>
            </w:rPr>
            <w:t>商城介绍</w:t>
          </w:r>
          <w:r>
            <w:tab/>
          </w:r>
          <w:r>
            <w:fldChar w:fldCharType="begin"/>
          </w:r>
          <w:r>
            <w:instrText xml:space="preserve"> PAGEREF _Toc4259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_Toc29937 </w:instrText>
          </w:r>
          <w:r>
            <w:fldChar w:fldCharType="separate"/>
          </w:r>
          <w:r>
            <w:rPr>
              <w:rFonts w:hint="eastAsia"/>
              <w:bCs w:val="0"/>
              <w:szCs w:val="30"/>
            </w:rPr>
            <w:t>2 VIP商家特权</w:t>
          </w:r>
          <w:r>
            <w:tab/>
          </w:r>
          <w:r>
            <w:fldChar w:fldCharType="begin"/>
          </w:r>
          <w:r>
            <w:instrText xml:space="preserve"> PAGEREF _Toc29937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_Toc21814 </w:instrText>
          </w:r>
          <w:r>
            <w:fldChar w:fldCharType="separate"/>
          </w:r>
          <w:r>
            <w:rPr>
              <w:rFonts w:hint="eastAsia"/>
              <w:bCs w:val="0"/>
              <w:szCs w:val="30"/>
            </w:rPr>
            <w:t xml:space="preserve">3 </w:t>
          </w:r>
          <w:r>
            <w:rPr>
              <w:rFonts w:hint="eastAsia"/>
              <w:bCs w:val="0"/>
              <w:szCs w:val="30"/>
              <w:lang w:val="en-US" w:eastAsia="zh-CN"/>
            </w:rPr>
            <w:t>会员注册</w:t>
          </w:r>
          <w:r>
            <w:tab/>
          </w:r>
          <w:r>
            <w:fldChar w:fldCharType="begin"/>
          </w:r>
          <w:r>
            <w:instrText xml:space="preserve"> PAGEREF _Toc21814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_Toc4297 </w:instrText>
          </w:r>
          <w:r>
            <w:fldChar w:fldCharType="separate"/>
          </w:r>
          <w:r>
            <w:rPr>
              <w:rFonts w:hint="eastAsia"/>
              <w:bCs w:val="0"/>
              <w:szCs w:val="30"/>
              <w:lang w:val="en-US" w:eastAsia="zh-CN"/>
            </w:rPr>
            <w:t>4 实名认证</w:t>
          </w:r>
          <w:r>
            <w:tab/>
          </w:r>
          <w:r>
            <w:fldChar w:fldCharType="begin"/>
          </w:r>
          <w:r>
            <w:instrText xml:space="preserve"> PAGEREF _Toc4297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_Toc32034 </w:instrText>
          </w:r>
          <w:r>
            <w:fldChar w:fldCharType="separate"/>
          </w:r>
          <w:r>
            <w:rPr>
              <w:rFonts w:hint="eastAsia"/>
              <w:bCs w:val="0"/>
              <w:szCs w:val="30"/>
              <w:lang w:val="en-US" w:eastAsia="zh-CN"/>
            </w:rPr>
            <w:t>5 入驻开店</w:t>
          </w:r>
          <w:r>
            <w:tab/>
          </w:r>
          <w:r>
            <w:fldChar w:fldCharType="begin"/>
          </w:r>
          <w:r>
            <w:instrText xml:space="preserve"> PAGEREF _Toc32034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_Toc32336 </w:instrText>
          </w:r>
          <w:r>
            <w:fldChar w:fldCharType="separate"/>
          </w:r>
          <w:r>
            <w:rPr>
              <w:rFonts w:hint="eastAsia"/>
              <w:bCs w:val="0"/>
              <w:szCs w:val="30"/>
              <w:lang w:val="en-US" w:eastAsia="zh-CN"/>
            </w:rPr>
            <w:t>6 卖家中心使用说明</w:t>
          </w:r>
          <w:r>
            <w:tab/>
          </w:r>
          <w:r>
            <w:fldChar w:fldCharType="begin"/>
          </w:r>
          <w:r>
            <w:instrText xml:space="preserve"> PAGEREF _Toc32336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rPr>
              <w:rFonts w:hint="eastAsia"/>
              <w:szCs w:val="28"/>
              <w:lang w:val="en-US" w:eastAsia="zh-CN"/>
            </w:rPr>
          </w:pP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HYPERLINK \l _Toc32200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6.1卖家中心登录入口</w:t>
          </w:r>
          <w:r>
            <w:rPr>
              <w:rFonts w:hint="eastAsia"/>
              <w:szCs w:val="28"/>
              <w:lang w:val="en-US" w:eastAsia="zh-CN"/>
            </w:rPr>
            <w:tab/>
          </w:r>
          <w:r>
            <w:rPr>
              <w:rFonts w:hint="eastAsia"/>
              <w:szCs w:val="28"/>
              <w:lang w:val="en-US" w:eastAsia="zh-CN"/>
            </w:rPr>
            <w:fldChar w:fldCharType="begin"/>
          </w:r>
          <w:r>
            <w:rPr>
              <w:rFonts w:hint="eastAsia"/>
              <w:szCs w:val="28"/>
              <w:lang w:val="en-US" w:eastAsia="zh-CN"/>
            </w:rPr>
            <w:instrText xml:space="preserve"> PAGEREF _Toc32200 </w:instrText>
          </w:r>
          <w:r>
            <w:rPr>
              <w:rFonts w:hint="eastAsia"/>
              <w:szCs w:val="28"/>
              <w:lang w:val="en-US" w:eastAsia="zh-CN"/>
            </w:rP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10</w:t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  <w:r>
            <w:rPr>
              <w:rFonts w:hint="eastAsia"/>
              <w:szCs w:val="28"/>
              <w:lang w:val="en-US" w:eastAsia="zh-CN"/>
            </w:rP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_Toc13641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6.2卖家中心</w:t>
          </w:r>
          <w:r>
            <w:tab/>
          </w:r>
          <w:r>
            <w:fldChar w:fldCharType="begin"/>
          </w:r>
          <w:r>
            <w:instrText xml:space="preserve"> PAGEREF _Toc13641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_Toc28736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6.3商城管理</w:t>
          </w:r>
          <w:r>
            <w:tab/>
          </w:r>
          <w:r>
            <w:fldChar w:fldCharType="begin"/>
          </w:r>
          <w:r>
            <w:instrText xml:space="preserve"> PAGEREF _Toc28736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_Toc20824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6.3.1店铺管理</w:t>
          </w:r>
          <w:r>
            <w:tab/>
          </w:r>
          <w:r>
            <w:fldChar w:fldCharType="begin"/>
          </w:r>
          <w:r>
            <w:instrText xml:space="preserve"> PAGEREF _Toc20824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_Toc5314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6.3.1.1</w:t>
          </w:r>
          <w:r>
            <w:rPr>
              <w:rFonts w:hint="eastAsia" w:ascii="微软雅黑" w:hAnsi="微软雅黑" w:eastAsia="微软雅黑"/>
              <w:lang w:val="en-US" w:eastAsia="zh-CN"/>
            </w:rPr>
            <w:t>店铺入驻信息</w:t>
          </w:r>
          <w:r>
            <w:tab/>
          </w:r>
          <w:r>
            <w:fldChar w:fldCharType="begin"/>
          </w:r>
          <w:r>
            <w:instrText xml:space="preserve"> PAGEREF _Toc5314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_Toc97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6.3.1.2店铺信息设置</w:t>
          </w:r>
          <w:r>
            <w:tab/>
          </w:r>
          <w:r>
            <w:fldChar w:fldCharType="begin"/>
          </w:r>
          <w:r>
            <w:instrText xml:space="preserve"> PAGEREF _Toc97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_Toc7715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6.3.1.3商品分类</w:t>
          </w:r>
          <w:r>
            <w:tab/>
          </w:r>
          <w:r>
            <w:fldChar w:fldCharType="begin"/>
          </w:r>
          <w:r>
            <w:instrText xml:space="preserve"> PAGEREF _Toc7715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_Toc23661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6.3.1.4店铺广告管理</w:t>
          </w:r>
          <w:r>
            <w:tab/>
          </w:r>
          <w:r>
            <w:fldChar w:fldCharType="begin"/>
          </w:r>
          <w:r>
            <w:instrText xml:space="preserve"> PAGEREF _Toc23661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_Toc28300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6.3.2商品管理</w:t>
          </w:r>
          <w:r>
            <w:tab/>
          </w:r>
          <w:r>
            <w:fldChar w:fldCharType="begin"/>
          </w:r>
          <w:r>
            <w:instrText xml:space="preserve"> PAGEREF _Toc28300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_Toc22057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6.3.2.1建材商品列表</w:t>
          </w:r>
          <w:r>
            <w:tab/>
          </w:r>
          <w:r>
            <w:fldChar w:fldCharType="begin"/>
          </w:r>
          <w:r>
            <w:instrText xml:space="preserve"> PAGEREF _Toc22057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_Toc30355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6.3.2.2待售商品管理</w:t>
          </w:r>
          <w:r>
            <w:tab/>
          </w:r>
          <w:r>
            <w:fldChar w:fldCharType="begin"/>
          </w:r>
          <w:r>
            <w:instrText xml:space="preserve"> PAGEREF _Toc30355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_Toc15364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6.3.2.3审核未通过商品管理</w:t>
          </w:r>
          <w:r>
            <w:tab/>
          </w:r>
          <w:r>
            <w:fldChar w:fldCharType="begin"/>
          </w:r>
          <w:r>
            <w:instrText xml:space="preserve"> PAGEREF _Toc15364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_Toc12885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6.3.2.4待审核商品管理</w:t>
          </w:r>
          <w:r>
            <w:tab/>
          </w:r>
          <w:r>
            <w:fldChar w:fldCharType="begin"/>
          </w:r>
          <w:r>
            <w:instrText xml:space="preserve"> PAGEREF _Toc12885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_Toc2918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6.3.2.5违规商品管理</w:t>
          </w:r>
          <w:r>
            <w:tab/>
          </w:r>
          <w:r>
            <w:fldChar w:fldCharType="begin"/>
          </w:r>
          <w:r>
            <w:instrText xml:space="preserve"> PAGEREF _Toc2918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_Toc23633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6.3.2.6商品商家属性</w:t>
          </w:r>
          <w:r>
            <w:tab/>
          </w:r>
          <w:r>
            <w:fldChar w:fldCharType="begin"/>
          </w:r>
          <w:r>
            <w:instrText xml:space="preserve"> PAGEREF _Toc23633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_Toc25769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6.3.2.7品牌管理</w:t>
          </w:r>
          <w:r>
            <w:tab/>
          </w:r>
          <w:r>
            <w:fldChar w:fldCharType="begin"/>
          </w:r>
          <w:r>
            <w:instrText xml:space="preserve"> PAGEREF _Toc25769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_Toc27654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6.3.3促销推广</w:t>
          </w:r>
          <w:r>
            <w:tab/>
          </w:r>
          <w:r>
            <w:fldChar w:fldCharType="begin"/>
          </w:r>
          <w:r>
            <w:instrText xml:space="preserve"> PAGEREF _Toc27654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_Toc32687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6.3.3.1特惠商品</w:t>
          </w:r>
          <w:r>
            <w:tab/>
          </w:r>
          <w:r>
            <w:fldChar w:fldCharType="begin"/>
          </w:r>
          <w:r>
            <w:instrText xml:space="preserve"> PAGEREF _Toc32687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_Toc26282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6.3.4订单交易</w:t>
          </w:r>
          <w:r>
            <w:tab/>
          </w:r>
          <w:r>
            <w:fldChar w:fldCharType="begin"/>
          </w:r>
          <w:r>
            <w:instrText xml:space="preserve"> PAGEREF _Toc26282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_Toc11847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6.3.4.1建材订单</w:t>
          </w:r>
          <w:r>
            <w:tab/>
          </w:r>
          <w:r>
            <w:fldChar w:fldCharType="begin"/>
          </w:r>
          <w:r>
            <w:instrText xml:space="preserve"> PAGEREF _Toc11847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_Toc31348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6.3.4.2评价晒单</w:t>
          </w:r>
          <w:r>
            <w:tab/>
          </w:r>
          <w:r>
            <w:fldChar w:fldCharType="begin"/>
          </w:r>
          <w:r>
            <w:instrText xml:space="preserve"> PAGEREF _Toc31348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_Toc8910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6.3.5合同交易</w:t>
          </w:r>
          <w:r>
            <w:tab/>
          </w:r>
          <w:r>
            <w:fldChar w:fldCharType="begin"/>
          </w:r>
          <w:r>
            <w:instrText xml:space="preserve"> PAGEREF _Toc8910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_Toc24907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6.3.5.1合同签订列表</w:t>
          </w:r>
          <w:r>
            <w:tab/>
          </w:r>
          <w:r>
            <w:fldChar w:fldCharType="begin"/>
          </w:r>
          <w:r>
            <w:instrText xml:space="preserve"> PAGEREF _Toc24907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_Toc9380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6.3.5.2合同交易列表</w:t>
          </w:r>
          <w:r>
            <w:tab/>
          </w:r>
          <w:r>
            <w:fldChar w:fldCharType="begin"/>
          </w:r>
          <w:r>
            <w:instrText xml:space="preserve"> PAGEREF _Toc9380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_Toc11738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6.3.5.3合同叫货单</w:t>
          </w:r>
          <w:r>
            <w:tab/>
          </w:r>
          <w:r>
            <w:fldChar w:fldCharType="begin"/>
          </w:r>
          <w:r>
            <w:instrText xml:space="preserve"> PAGEREF _Toc11738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_Toc26985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6.3.5.4合同发货单</w:t>
          </w:r>
          <w:r>
            <w:tab/>
          </w:r>
          <w:r>
            <w:fldChar w:fldCharType="begin"/>
          </w:r>
          <w:r>
            <w:instrText xml:space="preserve"> PAGEREF _Toc26985 </w:instrText>
          </w:r>
          <w:r>
            <w:fldChar w:fldCharType="separate"/>
          </w:r>
          <w:r>
            <w:t>29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_Toc32343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6.3.6物流配送</w:t>
          </w:r>
          <w:r>
            <w:tab/>
          </w:r>
          <w:r>
            <w:fldChar w:fldCharType="begin"/>
          </w:r>
          <w:r>
            <w:instrText xml:space="preserve"> PAGEREF _Toc32343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_Toc16683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6.3.7客户服务</w:t>
          </w:r>
          <w:r>
            <w:tab/>
          </w:r>
          <w:r>
            <w:fldChar w:fldCharType="begin"/>
          </w:r>
          <w:r>
            <w:instrText xml:space="preserve"> PAGEREF _Toc16683 </w:instrText>
          </w:r>
          <w:r>
            <w:fldChar w:fldCharType="separate"/>
          </w:r>
          <w:r>
            <w:t>30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_Toc10886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6.3.7.1订单退款</w:t>
          </w:r>
          <w:r>
            <w:tab/>
          </w:r>
          <w:r>
            <w:fldChar w:fldCharType="begin"/>
          </w:r>
          <w:r>
            <w:instrText xml:space="preserve"> PAGEREF _Toc10886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_Toc29922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6.3.7.2订单退货退款</w:t>
          </w:r>
          <w:r>
            <w:tab/>
          </w:r>
          <w:r>
            <w:fldChar w:fldCharType="begin"/>
          </w:r>
          <w:r>
            <w:instrText xml:space="preserve"> PAGEREF _Toc29922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_Toc28343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6.3.7.3合同退款列表</w:t>
          </w:r>
          <w:r>
            <w:tab/>
          </w:r>
          <w:r>
            <w:fldChar w:fldCharType="begin"/>
          </w:r>
          <w:r>
            <w:instrText xml:space="preserve"> PAGEREF _Toc28343 </w:instrText>
          </w:r>
          <w:r>
            <w:fldChar w:fldCharType="separate"/>
          </w:r>
          <w:r>
            <w:t>33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_Toc29166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6.3.7.4我的投诉</w:t>
          </w:r>
          <w:r>
            <w:tab/>
          </w:r>
          <w:r>
            <w:fldChar w:fldCharType="begin"/>
          </w:r>
          <w:r>
            <w:instrText xml:space="preserve"> PAGEREF _Toc29166 </w:instrText>
          </w:r>
          <w:r>
            <w:fldChar w:fldCharType="separate"/>
          </w:r>
          <w:r>
            <w:t>34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_Toc25554 </w:instrText>
          </w:r>
          <w:r>
            <w:fldChar w:fldCharType="separate"/>
          </w:r>
          <w:r>
            <w:rPr>
              <w:rFonts w:hint="eastAsia"/>
              <w:szCs w:val="28"/>
              <w:lang w:val="en-US" w:eastAsia="zh-CN"/>
            </w:rPr>
            <w:t>6.4资产中心</w:t>
          </w:r>
          <w:r>
            <w:tab/>
          </w:r>
          <w:r>
            <w:fldChar w:fldCharType="begin"/>
          </w:r>
          <w:r>
            <w:instrText xml:space="preserve"> PAGEREF _Toc25554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_Toc29307 </w:instrText>
          </w:r>
          <w:r>
            <w:fldChar w:fldCharType="separate"/>
          </w:r>
          <w:r>
            <w:rPr>
              <w:rFonts w:hint="eastAsia"/>
              <w:szCs w:val="24"/>
              <w:lang w:val="en-US" w:eastAsia="zh-CN"/>
            </w:rPr>
            <w:t>6.4.1账期授信</w:t>
          </w:r>
          <w:r>
            <w:tab/>
          </w:r>
          <w:r>
            <w:fldChar w:fldCharType="begin"/>
          </w:r>
          <w:r>
            <w:instrText xml:space="preserve"> PAGEREF _Toc29307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_Toc21682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6.4.1.1我授予的账期授信</w:t>
          </w:r>
          <w:r>
            <w:tab/>
          </w:r>
          <w:r>
            <w:fldChar w:fldCharType="begin"/>
          </w:r>
          <w:r>
            <w:instrText xml:space="preserve"> PAGEREF _Toc21682 </w:instrText>
          </w:r>
          <w:r>
            <w:fldChar w:fldCharType="separate"/>
          </w:r>
          <w:r>
            <w:t>35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_Toc4587 </w:instrText>
          </w:r>
          <w:r>
            <w:fldChar w:fldCharType="separate"/>
          </w:r>
          <w:r>
            <w:rPr>
              <w:rFonts w:hint="eastAsia" w:eastAsia="微软雅黑"/>
              <w:lang w:val="en-US" w:eastAsia="zh-CN"/>
            </w:rPr>
            <w:t>6.4.1.2我获得的账期授信</w:t>
          </w:r>
          <w:r>
            <w:tab/>
          </w:r>
          <w:r>
            <w:fldChar w:fldCharType="begin"/>
          </w:r>
          <w:r>
            <w:instrText xml:space="preserve"> PAGEREF _Toc4587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widowControl/>
            <w:jc w:val="left"/>
          </w:pPr>
          <w:r>
            <w:fldChar w:fldCharType="end"/>
          </w:r>
        </w:p>
        <w:p>
          <w:pPr>
            <w:widowControl/>
            <w:jc w:val="left"/>
          </w:pPr>
        </w:p>
        <w:p>
          <w:pPr>
            <w:widowControl/>
            <w:jc w:val="left"/>
          </w:pPr>
        </w:p>
        <w:p>
          <w:pPr>
            <w:pStyle w:val="2"/>
            <w:outlineLvl w:val="0"/>
            <w:rPr>
              <w:rFonts w:ascii="微软雅黑" w:hAnsi="微软雅黑"/>
              <w:b w:val="0"/>
              <w:sz w:val="30"/>
              <w:szCs w:val="30"/>
            </w:rPr>
          </w:pPr>
          <w:bookmarkStart w:id="3" w:name="_Toc4259"/>
          <w:r>
            <w:rPr>
              <w:rStyle w:val="31"/>
              <w:rFonts w:hint="eastAsia"/>
              <w:b/>
              <w:bCs w:val="0"/>
              <w:sz w:val="30"/>
              <w:szCs w:val="30"/>
            </w:rPr>
            <w:t>商城介绍</w:t>
          </w:r>
          <w:bookmarkEnd w:id="3"/>
        </w:p>
        <w:p>
          <w:pPr>
            <w:ind w:firstLine="420" w:firstLineChars="200"/>
            <w:rPr>
              <w:rFonts w:ascii="微软雅黑" w:hAnsi="微软雅黑" w:eastAsia="微软雅黑" w:cs="华文细黑"/>
              <w:b/>
              <w:bCs/>
              <w:color w:val="000000"/>
              <w:szCs w:val="21"/>
            </w:rPr>
          </w:pPr>
          <w:r>
            <w:rPr>
              <w:rFonts w:hint="eastAsia" w:ascii="微软雅黑" w:hAnsi="微软雅黑" w:eastAsia="微软雅黑" w:cs="华文细黑"/>
              <w:b/>
              <w:bCs/>
              <w:szCs w:val="21"/>
            </w:rPr>
            <w:t>建研家商城——</w:t>
          </w:r>
          <w:r>
            <w:rPr>
              <w:rFonts w:hint="eastAsia" w:ascii="微软雅黑" w:hAnsi="微软雅黑" w:eastAsia="微软雅黑" w:cs="华文细黑"/>
              <w:b/>
              <w:bCs/>
              <w:color w:val="000000"/>
              <w:szCs w:val="21"/>
            </w:rPr>
            <w:t>建筑业最贴心的电商服务平台</w:t>
          </w:r>
        </w:p>
        <w:p>
          <w:pPr>
            <w:spacing w:line="360" w:lineRule="auto"/>
            <w:ind w:firstLine="420" w:firstLineChars="200"/>
            <w:rPr>
              <w:rFonts w:ascii="微软雅黑" w:hAnsi="微软雅黑" w:eastAsia="微软雅黑" w:cs="华文细黑"/>
              <w:color w:val="000000"/>
              <w:szCs w:val="21"/>
              <w:shd w:val="clear" w:color="auto" w:fill="FFFFFF"/>
            </w:rPr>
          </w:pPr>
          <w:r>
            <w:rPr>
              <w:rFonts w:hint="eastAsia" w:ascii="微软雅黑" w:hAnsi="微软雅黑" w:eastAsia="微软雅黑" w:cs="华文细黑"/>
              <w:szCs w:val="21"/>
            </w:rPr>
            <w:t>建研家商城是由建研集团（002398.SZ</w:t>
          </w:r>
          <w:r>
            <w:rPr>
              <w:rFonts w:ascii="微软雅黑" w:hAnsi="微软雅黑" w:eastAsia="微软雅黑" w:cs="华文细黑"/>
              <w:szCs w:val="21"/>
            </w:rPr>
            <w:t>）</w:t>
          </w:r>
          <w:r>
            <w:rPr>
              <w:rFonts w:hint="eastAsia" w:ascii="微软雅黑" w:hAnsi="微软雅黑" w:eastAsia="微软雅黑" w:cs="华文细黑"/>
              <w:szCs w:val="21"/>
            </w:rPr>
            <w:t>精心打造的，致力于深耕建筑业供应链的互联网共享平台，实现</w:t>
          </w: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</w:rPr>
            <w:t>产业上下游、企业内外作业环、互联网线上线下高效衔接。</w:t>
          </w:r>
        </w:p>
        <w:p>
          <w:pPr>
            <w:spacing w:line="360" w:lineRule="auto"/>
            <w:ind w:firstLine="420" w:firstLineChars="200"/>
            <w:rPr>
              <w:rFonts w:ascii="微软雅黑" w:hAnsi="微软雅黑" w:eastAsia="微软雅黑" w:cs="华文细黑"/>
              <w:szCs w:val="21"/>
            </w:rPr>
          </w:pPr>
          <w:r>
            <w:rPr>
              <w:rFonts w:hint="eastAsia" w:ascii="微软雅黑" w:hAnsi="微软雅黑" w:eastAsia="微软雅黑" w:cs="华文细黑"/>
              <w:szCs w:val="21"/>
            </w:rPr>
            <w:t>建研家商城将以“建研+”的的商圈平台，打造集工程“研究、设计生产、营销”于一身的建筑业供应链一站式服务平台。</w:t>
          </w:r>
        </w:p>
        <w:p>
          <w:pPr>
            <w:spacing w:line="360" w:lineRule="auto"/>
            <w:ind w:firstLine="420" w:firstLineChars="200"/>
            <w:rPr>
              <w:rFonts w:ascii="微软雅黑" w:hAnsi="微软雅黑" w:eastAsia="微软雅黑" w:cs="华文细黑"/>
              <w:szCs w:val="21"/>
            </w:rPr>
          </w:pPr>
          <w:r>
            <w:rPr>
              <w:rFonts w:hint="eastAsia" w:ascii="微软雅黑" w:hAnsi="微软雅黑" w:eastAsia="微软雅黑" w:cs="华文细黑"/>
              <w:szCs w:val="21"/>
            </w:rPr>
            <w:t>建研家商城是同行业首个有全品类的平台，包括材料/制品/方式，不仅为开发商、营造商、建材商、服务商提供营销与采购一站式服务，也为建筑师、营造师、检测师、工程师提供最具行业人气构件、检测/检测/测绘、设计/监理/施工、设备/五金/用具、技术/软件/培训</w:t>
          </w:r>
          <w:r>
            <w:rPr>
              <w:rFonts w:hint="eastAsia" w:ascii="微软雅黑" w:hAnsi="微软雅黑" w:eastAsia="微软雅黑" w:cs="华文细黑"/>
              <w:szCs w:val="21"/>
              <w:lang w:eastAsia="zh-CN"/>
            </w:rPr>
            <w:t>、</w:t>
          </w:r>
          <w:r>
            <w:rPr>
              <w:rFonts w:hint="eastAsia" w:ascii="微软雅黑" w:hAnsi="微软雅黑" w:eastAsia="微软雅黑" w:cs="华文细黑"/>
              <w:szCs w:val="21"/>
              <w:lang w:val="en-US" w:eastAsia="zh-CN"/>
            </w:rPr>
            <w:t>家居/家装/家具</w:t>
          </w:r>
          <w:r>
            <w:rPr>
              <w:rFonts w:hint="eastAsia" w:ascii="微软雅黑" w:hAnsi="微软雅黑" w:eastAsia="微软雅黑" w:cs="华文细黑"/>
              <w:szCs w:val="21"/>
            </w:rPr>
            <w:t>等</w:t>
          </w:r>
          <w:r>
            <w:rPr>
              <w:rFonts w:hint="eastAsia" w:ascii="微软雅黑" w:hAnsi="微软雅黑" w:eastAsia="微软雅黑" w:cs="华文细黑"/>
              <w:szCs w:val="21"/>
              <w:lang w:val="en-US" w:eastAsia="zh-CN"/>
            </w:rPr>
            <w:t>六</w:t>
          </w:r>
          <w:r>
            <w:rPr>
              <w:rFonts w:hint="eastAsia" w:ascii="微软雅黑" w:hAnsi="微软雅黑" w:eastAsia="微软雅黑" w:cs="华文细黑"/>
              <w:szCs w:val="21"/>
            </w:rPr>
            <w:t>大类。</w:t>
          </w:r>
        </w:p>
        <w:p>
          <w:pPr>
            <w:spacing w:line="360" w:lineRule="auto"/>
            <w:ind w:firstLine="420" w:firstLineChars="200"/>
            <w:rPr>
              <w:rFonts w:ascii="微软雅黑" w:hAnsi="微软雅黑" w:eastAsia="微软雅黑" w:cs="华文细黑"/>
              <w:color w:val="000000"/>
              <w:szCs w:val="21"/>
              <w:shd w:val="clear" w:color="auto" w:fill="FFFFFF"/>
            </w:rPr>
          </w:pPr>
          <w:r>
            <w:rPr>
              <w:rFonts w:hint="eastAsia" w:ascii="微软雅黑" w:hAnsi="微软雅黑" w:eastAsia="微软雅黑" w:cs="华文细黑"/>
              <w:szCs w:val="21"/>
            </w:rPr>
            <w:t>建研家商城将</w:t>
          </w: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</w:rPr>
            <w:t>为建筑业企业提供连接“互联网+”最后一公里的对接，为企业提供完整的工程供应链解决方案和运营帮助。</w:t>
          </w:r>
        </w:p>
        <w:p>
          <w:pPr>
            <w:pStyle w:val="2"/>
            <w:outlineLvl w:val="0"/>
            <w:rPr>
              <w:rStyle w:val="31"/>
              <w:rFonts w:hint="eastAsia"/>
              <w:b/>
              <w:bCs w:val="0"/>
              <w:sz w:val="30"/>
              <w:szCs w:val="30"/>
            </w:rPr>
          </w:pPr>
          <w:bookmarkStart w:id="4" w:name="_Toc29937"/>
          <w:r>
            <w:rPr>
              <w:rStyle w:val="31"/>
              <w:rFonts w:hint="eastAsia"/>
              <w:b/>
              <w:bCs w:val="0"/>
              <w:sz w:val="30"/>
              <w:szCs w:val="30"/>
            </w:rPr>
            <w:t>VIP商家特权</w:t>
          </w:r>
          <w:bookmarkEnd w:id="4"/>
        </w:p>
        <w:p>
          <w:pPr>
            <w:widowControl/>
            <w:ind w:firstLine="420" w:firstLineChars="200"/>
            <w:rPr>
              <w:rFonts w:ascii="微软雅黑" w:hAnsi="微软雅黑" w:eastAsia="微软雅黑"/>
            </w:rPr>
          </w:pPr>
          <w:r>
            <w:rPr>
              <w:rFonts w:ascii="微软雅黑" w:hAnsi="微软雅黑" w:eastAsia="微软雅黑"/>
            </w:rPr>
            <w:t>一对一专业培训指导</w:t>
          </w:r>
        </w:p>
        <w:p>
          <w:pPr>
            <w:widowControl/>
            <w:ind w:firstLine="420" w:firstLineChars="200"/>
            <w:rPr>
              <w:rFonts w:ascii="微软雅黑" w:hAnsi="微软雅黑" w:eastAsia="微软雅黑"/>
            </w:rPr>
          </w:pPr>
          <w:r>
            <w:rPr>
              <w:rFonts w:hint="eastAsia" w:ascii="微软雅黑" w:hAnsi="微软雅黑" w:eastAsia="微软雅黑"/>
            </w:rPr>
            <w:t>全天候店铺托管服务</w:t>
          </w:r>
        </w:p>
        <w:p>
          <w:pPr>
            <w:widowControl/>
            <w:ind w:firstLine="420" w:firstLineChars="200"/>
            <w:rPr>
              <w:rFonts w:ascii="微软雅黑" w:hAnsi="微软雅黑" w:eastAsia="微软雅黑"/>
            </w:rPr>
          </w:pPr>
          <w:r>
            <w:rPr>
              <w:rFonts w:hint="eastAsia" w:ascii="微软雅黑" w:hAnsi="微软雅黑" w:eastAsia="微软雅黑"/>
            </w:rPr>
            <w:t>海量曝光，媒体同步</w:t>
          </w:r>
        </w:p>
        <w:p>
          <w:pPr>
            <w:widowControl/>
            <w:ind w:firstLine="420" w:firstLineChars="200"/>
            <w:rPr>
              <w:rFonts w:ascii="微软雅黑" w:hAnsi="微软雅黑" w:eastAsia="微软雅黑"/>
            </w:rPr>
          </w:pPr>
          <w:r>
            <w:rPr>
              <w:rFonts w:hint="eastAsia" w:ascii="微软雅黑" w:hAnsi="微软雅黑" w:eastAsia="微软雅黑"/>
            </w:rPr>
            <w:t>交流展会，商家互动</w:t>
          </w:r>
        </w:p>
        <w:p>
          <w:pPr>
            <w:pStyle w:val="2"/>
            <w:outlineLvl w:val="0"/>
            <w:rPr>
              <w:rStyle w:val="31"/>
              <w:rFonts w:hint="eastAsia"/>
              <w:b/>
              <w:bCs w:val="0"/>
              <w:sz w:val="30"/>
              <w:szCs w:val="30"/>
            </w:rPr>
          </w:pPr>
          <w:bookmarkStart w:id="5" w:name="_Toc21814"/>
          <w:r>
            <w:rPr>
              <w:rStyle w:val="31"/>
              <w:rFonts w:hint="eastAsia"/>
              <w:b/>
              <w:bCs w:val="0"/>
              <w:sz w:val="30"/>
              <w:szCs w:val="30"/>
              <w:lang w:val="en-US" w:eastAsia="zh-CN"/>
            </w:rPr>
            <w:t>会员注册</w:t>
          </w:r>
          <w:bookmarkEnd w:id="5"/>
        </w:p>
        <w:p>
          <w:pPr>
            <w:keepNext w:val="0"/>
            <w:keepLines w:val="0"/>
            <w:pageBreakBefore w:val="0"/>
            <w:widowControl/>
            <w:numPr>
              <w:ilvl w:val="0"/>
              <w:numId w:val="2"/>
            </w:numPr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before="100" w:beforeAutospacing="1" w:after="100" w:afterAutospacing="1" w:line="360" w:lineRule="auto"/>
            <w:ind w:firstLine="420" w:firstLineChars="200"/>
            <w:contextualSpacing/>
            <w:jc w:val="left"/>
            <w:textAlignment w:val="auto"/>
            <w:rPr>
              <w:rFonts w:hint="eastAsia" w:ascii="微软雅黑" w:hAnsi="微软雅黑" w:eastAsia="微软雅黑" w:cs="宋体"/>
              <w:kern w:val="0"/>
              <w:szCs w:val="21"/>
            </w:rPr>
          </w:pP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</w:rPr>
            <w:t>打开建研家商城官网（</w:t>
          </w:r>
          <w:r>
            <w:fldChar w:fldCharType="begin"/>
          </w:r>
          <w:r>
            <w:instrText xml:space="preserve"> HYPERLINK "http://www.jianyanjia.com" </w:instrText>
          </w:r>
          <w:r>
            <w:fldChar w:fldCharType="separate"/>
          </w:r>
          <w:r>
            <w:rPr>
              <w:rStyle w:val="21"/>
              <w:rFonts w:hint="eastAsia" w:ascii="微软雅黑" w:hAnsi="微软雅黑" w:eastAsia="微软雅黑" w:cs="华文细黑"/>
              <w:szCs w:val="21"/>
              <w:shd w:val="clear" w:color="auto" w:fill="FFFFFF"/>
            </w:rPr>
            <w:t>www.</w:t>
          </w:r>
          <w:r>
            <w:rPr>
              <w:rStyle w:val="21"/>
              <w:rFonts w:hint="eastAsia" w:ascii="微软雅黑" w:hAnsi="微软雅黑" w:eastAsia="微软雅黑" w:cs="华文细黑"/>
              <w:szCs w:val="21"/>
              <w:shd w:val="clear" w:color="auto" w:fill="FFFFFF"/>
              <w:lang w:val="en-US" w:eastAsia="zh-CN"/>
            </w:rPr>
            <w:t>i2398</w:t>
          </w:r>
          <w:r>
            <w:rPr>
              <w:rStyle w:val="21"/>
              <w:rFonts w:hint="eastAsia" w:ascii="微软雅黑" w:hAnsi="微软雅黑" w:eastAsia="微软雅黑" w:cs="华文细黑"/>
              <w:szCs w:val="21"/>
              <w:shd w:val="clear" w:color="auto" w:fill="FFFFFF"/>
            </w:rPr>
            <w:t>.com</w:t>
          </w:r>
          <w:r>
            <w:rPr>
              <w:rStyle w:val="21"/>
              <w:rFonts w:hint="eastAsia" w:ascii="微软雅黑" w:hAnsi="微软雅黑" w:eastAsia="微软雅黑" w:cs="华文细黑"/>
              <w:szCs w:val="21"/>
              <w:shd w:val="clear" w:color="auto" w:fill="FFFFFF"/>
            </w:rPr>
            <w:fldChar w:fldCharType="end"/>
          </w: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</w:rPr>
            <w:t>），</w:t>
          </w: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  <w:lang w:val="en-US" w:eastAsia="zh-CN"/>
            </w:rPr>
            <w:t>点击左上角“注册”</w:t>
          </w:r>
          <w:r>
            <w:rPr>
              <w:rFonts w:hint="eastAsia" w:ascii="微软雅黑" w:hAnsi="微软雅黑" w:eastAsia="微软雅黑" w:cs="宋体"/>
              <w:kern w:val="0"/>
              <w:szCs w:val="21"/>
              <w:lang w:eastAsia="zh-CN"/>
            </w:rPr>
            <w:t>。</w:t>
          </w:r>
          <w:r>
            <w:rPr>
              <w:rFonts w:hint="eastAsia" w:ascii="微软雅黑" w:hAnsi="微软雅黑" w:eastAsia="微软雅黑" w:cs="宋体"/>
              <w:kern w:val="0"/>
              <w:szCs w:val="21"/>
            </w:rPr>
            <w:t>如下图所示： </w:t>
          </w:r>
        </w:p>
        <w:p>
          <w:pPr>
            <w:keepNext w:val="0"/>
            <w:keepLines w:val="0"/>
            <w:pageBreakBefore w:val="0"/>
            <w:widowControl/>
            <w:numPr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before="100" w:beforeAutospacing="1" w:after="100" w:afterAutospacing="1" w:line="360" w:lineRule="auto"/>
            <w:contextualSpacing/>
            <w:jc w:val="both"/>
            <w:textAlignment w:val="auto"/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</w:rPr>
          </w:pP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</w:rPr>
            <w:drawing>
              <wp:inline distT="0" distB="0" distL="114300" distR="114300">
                <wp:extent cx="5264150" cy="687705"/>
                <wp:effectExtent l="0" t="0" r="12700" b="17145"/>
                <wp:docPr id="85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" name="图片 2"/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4150" cy="68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keepNext w:val="0"/>
            <w:keepLines w:val="0"/>
            <w:pageBreakBefore w:val="0"/>
            <w:widowControl/>
            <w:numPr>
              <w:ilvl w:val="0"/>
              <w:numId w:val="2"/>
            </w:numPr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before="100" w:beforeAutospacing="1" w:after="100" w:afterAutospacing="1" w:line="360" w:lineRule="auto"/>
            <w:ind w:firstLine="420" w:firstLineChars="200"/>
            <w:contextualSpacing/>
            <w:jc w:val="left"/>
            <w:textAlignment w:val="auto"/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</w:rPr>
          </w:pP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</w:rPr>
            <w:t xml:space="preserve"> </w:t>
          </w: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  <w:lang w:val="en-US" w:eastAsia="zh-CN"/>
            </w:rPr>
            <w:t>阅读《用户服务协议》并勾选，输入手机号、验证码，点击“</w:t>
          </w: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</w:rPr>
            <w:drawing>
              <wp:inline distT="0" distB="0" distL="114300" distR="114300">
                <wp:extent cx="619125" cy="266700"/>
                <wp:effectExtent l="0" t="0" r="9525" b="0"/>
                <wp:docPr id="17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图片 2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91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  <w:lang w:val="en-US" w:eastAsia="zh-CN"/>
            </w:rPr>
            <w:t>”。</w:t>
          </w:r>
        </w:p>
        <w:p>
          <w:pPr>
            <w:widowControl/>
            <w:numPr>
              <w:numId w:val="0"/>
            </w:numPr>
            <w:adjustRightInd w:val="0"/>
            <w:snapToGrid w:val="0"/>
            <w:spacing w:before="100" w:beforeAutospacing="1" w:after="100" w:afterAutospacing="1"/>
            <w:contextualSpacing/>
            <w:jc w:val="center"/>
            <w:rPr>
              <w:rFonts w:ascii="微软雅黑" w:hAnsi="微软雅黑" w:eastAsia="微软雅黑" w:cs="宋体"/>
              <w:kern w:val="0"/>
              <w:szCs w:val="21"/>
            </w:rPr>
          </w:pPr>
          <w:r>
            <w:drawing>
              <wp:inline distT="0" distB="0" distL="114300" distR="114300">
                <wp:extent cx="4284980" cy="2590165"/>
                <wp:effectExtent l="0" t="0" r="1270" b="635"/>
                <wp:docPr id="86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" name="图片 3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84980" cy="259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keepNext w:val="0"/>
            <w:keepLines w:val="0"/>
            <w:pageBreakBefore w:val="0"/>
            <w:widowControl/>
            <w:numPr>
              <w:ilvl w:val="0"/>
              <w:numId w:val="2"/>
            </w:numPr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before="100" w:beforeAutospacing="1" w:after="100" w:afterAutospacing="1" w:line="360" w:lineRule="auto"/>
            <w:ind w:firstLine="420" w:firstLineChars="200"/>
            <w:contextualSpacing/>
            <w:jc w:val="left"/>
            <w:textAlignment w:val="auto"/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</w:rPr>
          </w:pP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  <w:lang w:val="en-US" w:eastAsia="zh-CN"/>
            </w:rPr>
            <w:t>设置用户名、密码、公司名称、邮箱、验证码。</w:t>
          </w:r>
        </w:p>
        <w:p>
          <w:pPr>
            <w:keepNext w:val="0"/>
            <w:keepLines w:val="0"/>
            <w:pageBreakBefore w:val="0"/>
            <w:widowControl/>
            <w:numPr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 w:val="0"/>
            <w:snapToGrid w:val="0"/>
            <w:spacing w:before="100" w:beforeAutospacing="1" w:after="100" w:afterAutospacing="1" w:line="360" w:lineRule="auto"/>
            <w:contextualSpacing/>
            <w:jc w:val="center"/>
            <w:textAlignment w:val="auto"/>
          </w:pPr>
          <w:r>
            <w:rPr>
              <w:rFonts w:hint="eastAsia" w:ascii="微软雅黑" w:hAnsi="微软雅黑" w:eastAsia="微软雅黑" w:cs="华文细黑"/>
              <w:color w:val="000000"/>
              <w:szCs w:val="21"/>
              <w:shd w:val="clear" w:color="auto" w:fill="FFFFFF"/>
            </w:rPr>
            <w:drawing>
              <wp:inline distT="0" distB="0" distL="114300" distR="114300">
                <wp:extent cx="3048000" cy="3255010"/>
                <wp:effectExtent l="0" t="0" r="0" b="2540"/>
                <wp:docPr id="128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" name="图片 4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0" cy="325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widowControl/>
            <w:adjustRightInd w:val="0"/>
            <w:snapToGrid w:val="0"/>
            <w:spacing w:before="100" w:beforeAutospacing="1" w:after="100" w:afterAutospacing="1"/>
            <w:ind w:firstLine="420" w:firstLineChars="200"/>
            <w:contextualSpacing/>
            <w:jc w:val="left"/>
            <w:rPr>
              <w:rFonts w:ascii="微软雅黑" w:hAnsi="微软雅黑" w:eastAsia="微软雅黑"/>
            </w:rPr>
          </w:pPr>
          <w:r>
            <w:rPr>
              <w:rFonts w:ascii="微软雅黑" w:hAnsi="微软雅黑" w:eastAsia="微软雅黑" w:cs="宋体"/>
              <w:color w:val="FF0000"/>
              <w:kern w:val="0"/>
              <w:szCs w:val="21"/>
            </w:rPr>
            <w:t>温馨提示</w:t>
          </w:r>
          <w:r>
            <w:rPr>
              <w:rFonts w:hint="eastAsia" w:ascii="微软雅黑" w:hAnsi="微软雅黑" w:eastAsia="微软雅黑" w:cs="宋体"/>
              <w:color w:val="FF0000"/>
              <w:kern w:val="0"/>
              <w:szCs w:val="21"/>
              <w:lang w:val="en-US" w:eastAsia="zh-CN"/>
            </w:rPr>
            <w:t>：公司名称必须与营业执照或者发票抬头一致。</w:t>
          </w:r>
        </w:p>
        <w:p>
          <w:pPr>
            <w:pStyle w:val="2"/>
            <w:outlineLvl w:val="0"/>
            <w:rPr>
              <w:rStyle w:val="31"/>
              <w:rFonts w:hint="eastAsia"/>
              <w:b/>
              <w:bCs w:val="0"/>
              <w:sz w:val="30"/>
              <w:szCs w:val="30"/>
              <w:lang w:val="en-US" w:eastAsia="zh-CN"/>
            </w:rPr>
          </w:pPr>
          <w:bookmarkStart w:id="6" w:name="_Toc4297"/>
          <w:r>
            <w:rPr>
              <w:rStyle w:val="31"/>
              <w:rFonts w:hint="eastAsia"/>
              <w:b/>
              <w:bCs w:val="0"/>
              <w:sz w:val="30"/>
              <w:szCs w:val="30"/>
              <w:lang w:val="en-US" w:eastAsia="zh-CN"/>
            </w:rPr>
            <w:t>实名认证</w:t>
          </w:r>
          <w:bookmarkEnd w:id="6"/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420" w:firstLineChars="200"/>
            <w:textAlignment w:val="auto"/>
            <w:rPr>
              <w:rFonts w:hint="default" w:ascii="微软雅黑" w:hAnsi="微软雅黑" w:eastAsia="微软雅黑"/>
              <w:lang w:val="en-US" w:eastAsia="zh-CN"/>
            </w:rPr>
          </w:pPr>
          <w:r>
            <w:rPr>
              <w:rFonts w:hint="eastAsia" w:ascii="微软雅黑" w:hAnsi="微软雅黑" w:eastAsia="微软雅黑"/>
              <w:lang w:val="en-US" w:eastAsia="zh-CN"/>
            </w:rPr>
            <w:t>（1）完成注册后，点击左上角的会员名，即可进入实名认证页面。如下图所示：</w:t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420" w:firstLineChars="200"/>
            <w:jc w:val="center"/>
            <w:textAlignment w:val="auto"/>
            <w:rPr>
              <w:rFonts w:hint="eastAsia" w:ascii="微软雅黑" w:hAnsi="微软雅黑" w:eastAsia="微软雅黑"/>
              <w:lang w:val="en-US" w:eastAsia="zh-CN"/>
            </w:rPr>
          </w:pPr>
          <w:r>
            <w:drawing>
              <wp:inline distT="0" distB="0" distL="114300" distR="114300">
                <wp:extent cx="3248025" cy="1276350"/>
                <wp:effectExtent l="0" t="0" r="9525" b="0"/>
                <wp:docPr id="1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48025" cy="1276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420" w:firstLineChars="200"/>
            <w:textAlignment w:val="auto"/>
          </w:pPr>
          <w:r>
            <w:rPr>
              <w:rFonts w:hint="eastAsia" w:ascii="微软雅黑" w:hAnsi="微软雅黑" w:eastAsia="微软雅黑"/>
              <w:lang w:val="en-US" w:eastAsia="zh-CN"/>
            </w:rPr>
            <w:t>（2）在打开的页面中依次填写公司信息、公司联系人信息、营业执照信息、开户银行信息等。填写完点击“提交申请”按钮，等待平台管理员审核。</w:t>
          </w:r>
        </w:p>
        <w:p/>
        <w:p>
          <w:pPr>
            <w:widowControl/>
            <w:adjustRightInd w:val="0"/>
            <w:snapToGrid w:val="0"/>
            <w:spacing w:before="100" w:beforeAutospacing="1" w:after="100" w:afterAutospacing="1"/>
            <w:contextualSpacing/>
            <w:jc w:val="center"/>
          </w:pPr>
          <w:r>
            <w:drawing>
              <wp:inline distT="0" distB="0" distL="114300" distR="114300">
                <wp:extent cx="4149090" cy="3184525"/>
                <wp:effectExtent l="0" t="0" r="3810" b="15875"/>
                <wp:docPr id="3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图片 2"/>
                        <pic:cNvPicPr>
                          <a:picLocks noChangeAspect="1"/>
                        </pic:cNvPicPr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49090" cy="31845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widowControl/>
            <w:adjustRightInd w:val="0"/>
            <w:snapToGrid w:val="0"/>
            <w:spacing w:before="100" w:beforeAutospacing="1" w:after="100" w:afterAutospacing="1"/>
            <w:contextualSpacing/>
            <w:jc w:val="center"/>
          </w:pPr>
          <w:r>
            <w:drawing>
              <wp:inline distT="0" distB="0" distL="114300" distR="114300">
                <wp:extent cx="4478020" cy="2111375"/>
                <wp:effectExtent l="0" t="0" r="17780" b="3175"/>
                <wp:docPr id="4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图片 2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78020" cy="2111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widowControl/>
            <w:adjustRightInd w:val="0"/>
            <w:snapToGrid w:val="0"/>
            <w:spacing w:before="100" w:beforeAutospacing="1" w:after="100" w:afterAutospacing="1"/>
            <w:contextualSpacing/>
            <w:jc w:val="center"/>
          </w:pPr>
          <w:r>
            <w:drawing>
              <wp:inline distT="0" distB="0" distL="114300" distR="114300">
                <wp:extent cx="3496310" cy="3427095"/>
                <wp:effectExtent l="0" t="0" r="8890" b="1905"/>
                <wp:docPr id="5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图片 4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96310" cy="34270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widowControl/>
            <w:adjustRightInd w:val="0"/>
            <w:snapToGrid w:val="0"/>
            <w:spacing w:before="100" w:beforeAutospacing="1" w:after="100" w:afterAutospacing="1"/>
            <w:contextualSpacing/>
            <w:jc w:val="center"/>
          </w:pPr>
          <w:r>
            <w:drawing>
              <wp:inline distT="0" distB="0" distL="114300" distR="114300">
                <wp:extent cx="4364355" cy="3209925"/>
                <wp:effectExtent l="0" t="0" r="17145" b="9525"/>
                <wp:docPr id="16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图片 5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r="114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4355" cy="32099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pStyle w:val="2"/>
            <w:outlineLvl w:val="0"/>
            <w:rPr>
              <w:rStyle w:val="31"/>
              <w:rFonts w:hint="eastAsia"/>
              <w:b/>
              <w:bCs w:val="0"/>
              <w:sz w:val="30"/>
              <w:szCs w:val="30"/>
              <w:lang w:val="en-US" w:eastAsia="zh-CN"/>
            </w:rPr>
          </w:pPr>
          <w:bookmarkStart w:id="7" w:name="_Toc32034"/>
          <w:r>
            <w:rPr>
              <w:rStyle w:val="31"/>
              <w:rFonts w:hint="eastAsia"/>
              <w:b/>
              <w:bCs w:val="0"/>
              <w:sz w:val="30"/>
              <w:szCs w:val="30"/>
              <w:lang w:val="en-US" w:eastAsia="zh-CN"/>
            </w:rPr>
            <w:t>入驻开店</w:t>
          </w:r>
          <w:bookmarkEnd w:id="7"/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3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420" w:firstLineChars="200"/>
            <w:textAlignment w:val="auto"/>
            <w:rPr>
              <w:rFonts w:hint="eastAsia" w:ascii="微软雅黑" w:hAnsi="微软雅黑" w:eastAsia="微软雅黑"/>
              <w:lang w:val="en-US" w:eastAsia="zh-CN"/>
            </w:rPr>
          </w:pPr>
          <w:r>
            <w:rPr>
              <w:rFonts w:hint="eastAsia" w:ascii="微软雅黑" w:hAnsi="微软雅黑" w:eastAsia="微软雅黑"/>
              <w:lang w:val="en-US" w:eastAsia="zh-CN"/>
            </w:rPr>
            <w:t>实名认证通过后，点击左侧“访问卖家中心”，进入店铺入驻申请页面。如图1、图2所示：</w:t>
          </w:r>
        </w:p>
        <w:p>
          <w:pPr>
            <w:jc w:val="center"/>
            <w:rPr>
              <w:rFonts w:hint="default" w:eastAsiaTheme="minorEastAsia"/>
              <w:lang w:val="en-US" w:eastAsia="zh-CN"/>
            </w:rPr>
          </w:pPr>
          <w:r>
            <w:drawing>
              <wp:inline distT="0" distB="0" distL="114300" distR="114300">
                <wp:extent cx="5268595" cy="793115"/>
                <wp:effectExtent l="0" t="0" r="8255" b="6985"/>
                <wp:docPr id="26" name="图片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图片 1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859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hint="eastAsia"/>
              <w:lang w:val="en-US" w:eastAsia="zh-CN"/>
            </w:rPr>
            <w:t>图1</w:t>
          </w:r>
        </w:p>
        <w:p>
          <w:pPr>
            <w:jc w:val="center"/>
            <w:rPr>
              <w:rFonts w:hint="eastAsia"/>
              <w:lang w:val="en-US" w:eastAsia="zh-CN"/>
            </w:rPr>
          </w:pPr>
          <w:r>
            <w:drawing>
              <wp:inline distT="0" distB="0" distL="114300" distR="114300">
                <wp:extent cx="5225415" cy="1966595"/>
                <wp:effectExtent l="0" t="0" r="13335" b="14605"/>
                <wp:docPr id="28" name="图片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图片 5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r="169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25415" cy="19665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rFonts w:hint="eastAsia"/>
              <w:lang w:val="en-US" w:eastAsia="zh-CN"/>
            </w:rPr>
            <w:t>图2</w:t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jc w:val="center"/>
            <w:textAlignment w:val="auto"/>
            <w:rPr>
              <w:rFonts w:hint="eastAsia" w:ascii="微软雅黑" w:hAnsi="微软雅黑" w:eastAsia="微软雅黑"/>
              <w:lang w:val="en-US" w:eastAsia="zh-CN"/>
            </w:rPr>
          </w:pP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3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420" w:firstLineChars="200"/>
            <w:textAlignment w:val="auto"/>
            <w:rPr>
              <w:rFonts w:hint="default" w:ascii="微软雅黑" w:hAnsi="微软雅黑" w:eastAsia="微软雅黑"/>
              <w:lang w:val="en-US" w:eastAsia="zh-CN"/>
            </w:rPr>
          </w:pPr>
          <w:r>
            <w:rPr>
              <w:rFonts w:hint="default" w:ascii="微软雅黑" w:hAnsi="微软雅黑" w:eastAsia="微软雅黑"/>
              <w:lang w:val="en-US" w:eastAsia="zh-CN"/>
            </w:rPr>
            <w:t>在店铺入驻申请页面，请仔细查看并核对您要申请入驻的商家业务类型，点击对应业务，进入下一步店铺申请操作。</w:t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  <w:rPr>
              <w:rFonts w:hint="default" w:ascii="微软雅黑" w:hAnsi="微软雅黑" w:eastAsia="微软雅黑"/>
              <w:lang w:val="en-US" w:eastAsia="zh-CN"/>
            </w:rPr>
          </w:pPr>
          <w:r>
            <w:drawing>
              <wp:inline distT="0" distB="0" distL="114300" distR="114300">
                <wp:extent cx="5551805" cy="2454275"/>
                <wp:effectExtent l="0" t="0" r="10795" b="3175"/>
                <wp:docPr id="31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图片 3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1805" cy="2454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3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420" w:firstLineChars="200"/>
            <w:textAlignment w:val="auto"/>
            <w:rPr>
              <w:rFonts w:hint="default" w:ascii="微软雅黑" w:hAnsi="微软雅黑" w:eastAsia="微软雅黑"/>
              <w:lang w:val="en-US" w:eastAsia="zh-CN"/>
            </w:rPr>
          </w:pPr>
          <w:r>
            <w:rPr>
              <w:rFonts w:hint="default" w:ascii="微软雅黑" w:hAnsi="微软雅黑" w:eastAsia="微软雅黑"/>
              <w:lang w:val="en-US" w:eastAsia="zh-CN"/>
            </w:rPr>
            <w:t>若已完成账号实名认证，且备好所属行业相关资质证明，直接点击“确认并继续入驻”。反之点击“取消”。</w:t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jc w:val="center"/>
            <w:textAlignment w:val="auto"/>
            <w:rPr>
              <w:rFonts w:hint="default" w:ascii="微软雅黑" w:hAnsi="微软雅黑" w:eastAsia="微软雅黑"/>
              <w:lang w:val="en-US" w:eastAsia="zh-CN"/>
            </w:rPr>
          </w:pPr>
          <w:r>
            <w:drawing>
              <wp:inline distT="0" distB="0" distL="114300" distR="114300">
                <wp:extent cx="4534535" cy="2115185"/>
                <wp:effectExtent l="0" t="0" r="18415" b="18415"/>
                <wp:docPr id="24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图片 2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rcRect r="1238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4535" cy="21151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3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420" w:firstLineChars="200"/>
            <w:textAlignment w:val="auto"/>
            <w:rPr>
              <w:rFonts w:hint="default" w:ascii="微软雅黑" w:hAnsi="微软雅黑" w:eastAsia="微软雅黑"/>
              <w:lang w:val="en-US" w:eastAsia="zh-CN"/>
            </w:rPr>
          </w:pPr>
          <w:r>
            <w:rPr>
              <w:rFonts w:hint="default" w:ascii="微软雅黑" w:hAnsi="微软雅黑" w:eastAsia="微软雅黑"/>
              <w:lang w:val="en-US" w:eastAsia="zh-CN"/>
            </w:rPr>
            <w:t>点击“确认并继续入驻”，在打开的入驻协议页面，仔细阅读入驻协议，确认自己是否符合入驻条件。符合条件的勾选”已阅读并同意入驻协议“，点击“下一步”。</w:t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jc w:val="center"/>
            <w:textAlignment w:val="auto"/>
            <w:rPr>
              <w:rFonts w:hint="default" w:ascii="微软雅黑" w:hAnsi="微软雅黑" w:eastAsia="微软雅黑"/>
              <w:lang w:val="en-US" w:eastAsia="zh-CN"/>
            </w:rPr>
          </w:pPr>
          <w:r>
            <w:drawing>
              <wp:inline distT="0" distB="0" distL="114300" distR="114300">
                <wp:extent cx="4827270" cy="3408045"/>
                <wp:effectExtent l="0" t="0" r="11430" b="1905"/>
                <wp:docPr id="25" name="图片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图片 6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27270" cy="34080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3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420" w:firstLineChars="200"/>
            <w:textAlignment w:val="auto"/>
            <w:rPr>
              <w:rFonts w:hint="default" w:ascii="微软雅黑" w:hAnsi="微软雅黑" w:eastAsia="微软雅黑"/>
              <w:lang w:val="en-US" w:eastAsia="zh-CN"/>
            </w:rPr>
          </w:pPr>
          <w:r>
            <w:rPr>
              <w:rFonts w:hint="default" w:ascii="微软雅黑" w:hAnsi="微软雅黑" w:eastAsia="微软雅黑"/>
              <w:lang w:val="en-US" w:eastAsia="zh-CN"/>
            </w:rPr>
            <w:t>在打开的店铺信息页面，选择经营类目。点击经营类目文本框可选择一级类目，选择后即可跳出对应的二级类目，勾选所需的二级类目后，点击“添加”。添加后上传对应资质。如下图所示：</w:t>
          </w:r>
        </w:p>
        <w:p>
          <w:pPr>
            <w:keepNext w:val="0"/>
            <w:keepLines w:val="0"/>
            <w:pageBreakBefore w:val="0"/>
            <w:widowControl w:val="0"/>
            <w:numPr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jc w:val="both"/>
            <w:textAlignment w:val="auto"/>
            <w:rPr>
              <w:rFonts w:hint="default" w:ascii="微软雅黑" w:hAnsi="微软雅黑" w:eastAsia="微软雅黑"/>
              <w:lang w:val="en-US" w:eastAsia="zh-CN"/>
            </w:rPr>
          </w:pPr>
          <w:r>
            <w:rPr>
              <w:rFonts w:hint="default" w:ascii="微软雅黑" w:hAnsi="微软雅黑" w:eastAsia="微软雅黑"/>
              <w:lang w:val="en-US" w:eastAsia="zh-CN"/>
            </w:rPr>
            <w:drawing>
              <wp:inline distT="0" distB="0" distL="114300" distR="114300">
                <wp:extent cx="5727700" cy="2719070"/>
                <wp:effectExtent l="0" t="0" r="6350" b="5080"/>
                <wp:docPr id="30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图片 2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27700" cy="27190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3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420" w:firstLineChars="200"/>
            <w:textAlignment w:val="auto"/>
            <w:rPr>
              <w:rFonts w:hint="eastAsia" w:ascii="微软雅黑" w:hAnsi="微软雅黑" w:eastAsia="微软雅黑"/>
              <w:lang w:val="en-US" w:eastAsia="zh-CN"/>
            </w:rPr>
          </w:pPr>
          <w:r>
            <w:rPr>
              <w:rFonts w:hint="eastAsia" w:ascii="微软雅黑" w:hAnsi="微软雅黑" w:eastAsia="微软雅黑"/>
              <w:lang w:val="en-US" w:eastAsia="zh-CN"/>
            </w:rPr>
            <w:t>二级类目添加后，上传对应资质，点击“上传图片”按钮，进行上传。然后填写店铺名称后点击“提交申请”，等待平台管理员审核。</w:t>
          </w:r>
        </w:p>
        <w:p>
          <w:pPr>
            <w:keepNext w:val="0"/>
            <w:keepLines w:val="0"/>
            <w:pageBreakBefore w:val="0"/>
            <w:widowControl w:val="0"/>
            <w:numPr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jc w:val="center"/>
            <w:textAlignment w:val="auto"/>
          </w:pPr>
          <w:r>
            <w:rPr>
              <w:rFonts w:hint="default" w:ascii="微软雅黑" w:hAnsi="微软雅黑" w:eastAsia="微软雅黑"/>
              <w:lang w:val="en-US" w:eastAsia="zh-CN"/>
            </w:rPr>
            <w:drawing>
              <wp:inline distT="0" distB="0" distL="114300" distR="114300">
                <wp:extent cx="5261610" cy="2772410"/>
                <wp:effectExtent l="0" t="0" r="15240" b="8890"/>
                <wp:docPr id="129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" name="图片 2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61610" cy="27724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jc w:val="center"/>
            <w:textAlignment w:val="auto"/>
            <w:rPr>
              <w:rFonts w:hint="eastAsia"/>
              <w:lang w:val="en-US" w:eastAsia="zh-CN"/>
            </w:rPr>
          </w:pPr>
          <w:r>
            <w:drawing>
              <wp:inline distT="0" distB="0" distL="114300" distR="114300">
                <wp:extent cx="5391785" cy="1398905"/>
                <wp:effectExtent l="0" t="0" r="18415" b="10795"/>
                <wp:docPr id="130" name="图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" name="图片 3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1785" cy="1398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3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ind w:firstLine="420" w:firstLineChars="200"/>
            <w:jc w:val="left"/>
            <w:textAlignment w:val="auto"/>
            <w:rPr>
              <w:rFonts w:hint="eastAsia" w:ascii="微软雅黑" w:hAnsi="微软雅黑" w:eastAsia="微软雅黑"/>
              <w:lang w:val="en-US" w:eastAsia="zh-CN"/>
            </w:rPr>
          </w:pPr>
          <w:r>
            <w:rPr>
              <w:rFonts w:hint="eastAsia" w:ascii="微软雅黑" w:hAnsi="微软雅黑" w:eastAsia="微软雅黑"/>
              <w:lang w:val="en-US" w:eastAsia="zh-CN"/>
            </w:rPr>
            <w:t>审核通过后，店铺开通成功。</w:t>
          </w:r>
        </w:p>
        <w:p>
          <w:pPr>
            <w:keepNext w:val="0"/>
            <w:keepLines w:val="0"/>
            <w:pageBreakBefore w:val="0"/>
            <w:widowControl w:val="0"/>
            <w:numPr>
              <w:ilvl w:val="0"/>
              <w:numId w:val="0"/>
            </w:numPr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textAlignment w:val="auto"/>
            <w:rPr>
              <w:rFonts w:hint="default"/>
              <w:lang w:val="en-US" w:eastAsia="zh-CN"/>
            </w:rPr>
          </w:pPr>
        </w:p>
        <w:p>
          <w:pPr>
            <w:widowControl/>
            <w:adjustRightInd w:val="0"/>
            <w:snapToGrid w:val="0"/>
            <w:spacing w:before="100" w:beforeAutospacing="1" w:after="100" w:afterAutospacing="1"/>
            <w:ind w:firstLine="420" w:firstLineChars="200"/>
            <w:contextualSpacing/>
            <w:jc w:val="left"/>
            <w:rPr>
              <w:rFonts w:hint="eastAsia" w:ascii="微软雅黑" w:hAnsi="微软雅黑" w:eastAsia="微软雅黑" w:cs="宋体"/>
              <w:kern w:val="0"/>
              <w:szCs w:val="21"/>
              <w:lang w:val="en-US" w:eastAsia="zh-CN"/>
            </w:rPr>
          </w:pPr>
          <w:r>
            <w:rPr>
              <w:rFonts w:hint="eastAsia" w:ascii="微软雅黑" w:hAnsi="微软雅黑" w:eastAsia="微软雅黑" w:cs="宋体"/>
              <w:kern w:val="0"/>
              <w:szCs w:val="21"/>
            </w:rPr>
            <w:t>（</w:t>
          </w:r>
          <w:r>
            <w:rPr>
              <w:rFonts w:hint="eastAsia" w:ascii="微软雅黑" w:hAnsi="微软雅黑" w:eastAsia="微软雅黑" w:cs="宋体"/>
              <w:kern w:val="0"/>
              <w:szCs w:val="21"/>
              <w:lang w:val="en-US" w:eastAsia="zh-CN"/>
            </w:rPr>
            <w:t>8</w:t>
          </w:r>
          <w:r>
            <w:rPr>
              <w:rFonts w:hint="eastAsia" w:ascii="微软雅黑" w:hAnsi="微软雅黑" w:eastAsia="微软雅黑" w:cs="宋体"/>
              <w:kern w:val="0"/>
              <w:szCs w:val="21"/>
            </w:rPr>
            <w:t>）</w:t>
          </w:r>
          <w:r>
            <w:rPr>
              <w:rFonts w:ascii="微软雅黑" w:hAnsi="微软雅黑" w:eastAsia="微软雅黑" w:cs="宋体"/>
              <w:kern w:val="0"/>
              <w:szCs w:val="21"/>
            </w:rPr>
            <w:t>开店成功</w:t>
          </w:r>
          <w:r>
            <w:rPr>
              <w:rFonts w:hint="eastAsia" w:ascii="微软雅黑" w:hAnsi="微软雅黑" w:eastAsia="微软雅黑" w:cs="宋体"/>
              <w:kern w:val="0"/>
              <w:szCs w:val="21"/>
              <w:lang w:val="en-US" w:eastAsia="zh-CN"/>
            </w:rPr>
            <w:t>。</w:t>
          </w:r>
        </w:p>
        <w:p>
          <w:pPr>
            <w:pStyle w:val="2"/>
            <w:rPr>
              <w:rStyle w:val="31"/>
              <w:rFonts w:hint="eastAsia"/>
              <w:b/>
              <w:bCs w:val="0"/>
              <w:sz w:val="30"/>
              <w:szCs w:val="30"/>
              <w:lang w:val="en-US" w:eastAsia="zh-CN"/>
            </w:rPr>
          </w:pPr>
          <w:bookmarkStart w:id="8" w:name="_Toc32336"/>
          <w:r>
            <w:rPr>
              <w:rStyle w:val="31"/>
              <w:rFonts w:hint="eastAsia"/>
              <w:b/>
              <w:bCs w:val="0"/>
              <w:sz w:val="30"/>
              <w:szCs w:val="30"/>
              <w:lang w:val="en-US" w:eastAsia="zh-CN"/>
            </w:rPr>
            <w:t>卖家中心使用说明</w:t>
          </w:r>
          <w:bookmarkEnd w:id="8"/>
        </w:p>
        <w:p>
          <w:pPr>
            <w:ind w:firstLine="420" w:firstLineChars="200"/>
            <w:rPr>
              <w:rFonts w:ascii="微软雅黑" w:hAnsi="微软雅黑" w:eastAsia="微软雅黑"/>
            </w:rPr>
          </w:pPr>
          <w:r>
            <w:rPr>
              <w:rFonts w:hint="eastAsia" w:ascii="微软雅黑" w:hAnsi="微软雅黑" w:eastAsia="微软雅黑"/>
              <w:lang w:val="en-US" w:eastAsia="zh-CN"/>
            </w:rPr>
            <w:t>卖</w:t>
          </w:r>
          <w:r>
            <w:rPr>
              <w:rFonts w:hint="eastAsia" w:ascii="微软雅黑" w:hAnsi="微软雅黑" w:eastAsia="微软雅黑"/>
            </w:rPr>
            <w:t>家中心功能模块包括：</w:t>
          </w:r>
          <w:r>
            <w:rPr>
              <w:rFonts w:hint="eastAsia" w:ascii="微软雅黑" w:hAnsi="微软雅黑" w:eastAsia="微软雅黑"/>
              <w:lang w:val="en-US" w:eastAsia="zh-CN"/>
            </w:rPr>
            <w:t>商城管理、资产中心两大模块。</w:t>
          </w:r>
        </w:p>
      </w:sdtContent>
    </w:sdt>
    <w:p>
      <w:pPr>
        <w:pStyle w:val="3"/>
        <w:rPr>
          <w:sz w:val="28"/>
          <w:szCs w:val="28"/>
        </w:rPr>
      </w:pPr>
      <w:bookmarkStart w:id="9" w:name="_Toc32200"/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.1</w:t>
      </w:r>
      <w:r>
        <w:rPr>
          <w:rFonts w:hint="eastAsia"/>
          <w:sz w:val="28"/>
          <w:szCs w:val="28"/>
          <w:lang w:val="en-US" w:eastAsia="zh-CN"/>
        </w:rPr>
        <w:t>卖家中心</w:t>
      </w:r>
      <w:r>
        <w:rPr>
          <w:rFonts w:hint="eastAsia"/>
          <w:sz w:val="28"/>
          <w:szCs w:val="28"/>
        </w:rPr>
        <w:t>登录入口</w:t>
      </w:r>
      <w:bookmarkEnd w:id="9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先登陆会员账号，再选择卖家中心入口。</w:t>
      </w:r>
    </w:p>
    <w:p>
      <w:pPr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（1）会员</w:t>
      </w:r>
      <w:r>
        <w:rPr>
          <w:rFonts w:hint="eastAsia" w:ascii="微软雅黑" w:hAnsi="微软雅黑" w:eastAsia="微软雅黑"/>
        </w:rPr>
        <w:t>登录入口有</w:t>
      </w:r>
      <w:r>
        <w:rPr>
          <w:rFonts w:hint="eastAsia" w:ascii="微软雅黑" w:hAnsi="微软雅黑" w:eastAsia="微软雅黑"/>
          <w:lang w:val="en-US" w:eastAsia="zh-CN"/>
        </w:rPr>
        <w:t>2</w:t>
      </w:r>
      <w:r>
        <w:rPr>
          <w:rFonts w:hint="eastAsia" w:ascii="微软雅黑" w:hAnsi="微软雅黑" w:eastAsia="微软雅黑"/>
        </w:rPr>
        <w:t>个：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分别位于首页左上角与右侧</w:t>
      </w:r>
      <w:r>
        <w:rPr>
          <w:rFonts w:hint="eastAsia" w:ascii="微软雅黑" w:hAnsi="微软雅黑" w:eastAsia="微软雅黑"/>
        </w:rPr>
        <w:t>，如下图所示：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5323840" cy="2716530"/>
            <wp:effectExtent l="0" t="0" r="10160" b="7620"/>
            <wp:docPr id="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卖家中心</w:t>
      </w:r>
      <w:r>
        <w:rPr>
          <w:rFonts w:hint="eastAsia" w:ascii="微软雅黑" w:hAnsi="微软雅黑" w:eastAsia="微软雅黑"/>
        </w:rPr>
        <w:t>入口有</w:t>
      </w:r>
      <w:r>
        <w:rPr>
          <w:rFonts w:hint="eastAsia" w:ascii="微软雅黑" w:hAnsi="微软雅黑" w:eastAsia="微软雅黑"/>
          <w:lang w:val="en-US" w:eastAsia="zh-CN"/>
        </w:rPr>
        <w:t>2</w:t>
      </w:r>
      <w:r>
        <w:rPr>
          <w:rFonts w:hint="eastAsia" w:ascii="微软雅黑" w:hAnsi="微软雅黑" w:eastAsia="微软雅黑"/>
        </w:rPr>
        <w:t>个：</w:t>
      </w:r>
    </w:p>
    <w:p>
      <w:pPr>
        <w:numPr>
          <w:ilvl w:val="0"/>
          <w:numId w:val="0"/>
        </w:numPr>
        <w:ind w:firstLine="630" w:firstLineChars="3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第1个：位于商城首页右侧，点击我是卖家，“商品列表”、“建材订单”、“合同交易”、“合同叫货单”、“合同发货单”、“账期授信”任意点击一项均可进入卖家中心。如下图所示：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5462270" cy="1895475"/>
            <wp:effectExtent l="0" t="0" r="5080" b="9525"/>
            <wp:docPr id="1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30" w:firstLineChars="3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第2个：点击首页左上角账号名，再点击左侧“访问卖家中心” 。如下图所示：</w:t>
      </w:r>
    </w:p>
    <w:p>
      <w:pPr>
        <w:jc w:val="center"/>
        <w:rPr>
          <w:rFonts w:ascii="宋体" w:hAnsi="宋体" w:eastAsia="宋体" w:cs="宋体"/>
          <w:kern w:val="0"/>
          <w:szCs w:val="21"/>
        </w:rPr>
      </w:pPr>
      <w:r>
        <w:drawing>
          <wp:inline distT="0" distB="0" distL="114300" distR="114300">
            <wp:extent cx="5610860" cy="945515"/>
            <wp:effectExtent l="0" t="0" r="8890" b="6985"/>
            <wp:docPr id="13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sz w:val="28"/>
          <w:szCs w:val="28"/>
          <w:lang w:val="en-US" w:eastAsia="zh-CN"/>
        </w:rPr>
      </w:pPr>
      <w:bookmarkStart w:id="10" w:name="_Toc13641"/>
      <w:r>
        <w:rPr>
          <w:rFonts w:hint="eastAsia"/>
          <w:sz w:val="28"/>
          <w:szCs w:val="28"/>
          <w:lang w:val="en-US" w:eastAsia="zh-CN"/>
        </w:rPr>
        <w:t>6.2卖家中心</w:t>
      </w:r>
      <w:bookmarkEnd w:id="10"/>
    </w:p>
    <w:p>
      <w:pPr>
        <w:widowControl/>
        <w:adjustRightInd w:val="0"/>
        <w:snapToGrid w:val="0"/>
        <w:spacing w:before="100" w:beforeAutospacing="1" w:after="100" w:afterAutospacing="1"/>
        <w:contextualSpacing/>
        <w:rPr>
          <w:rFonts w:ascii="宋体" w:hAnsi="宋体" w:eastAsia="宋体" w:cs="宋体"/>
          <w:kern w:val="0"/>
          <w:szCs w:val="21"/>
        </w:rPr>
      </w:pPr>
      <w:r>
        <w:drawing>
          <wp:inline distT="0" distB="0" distL="114300" distR="114300">
            <wp:extent cx="5274310" cy="2111375"/>
            <wp:effectExtent l="0" t="0" r="2540" b="3175"/>
            <wp:docPr id="1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00" w:beforeAutospacing="1" w:after="100" w:afterAutospacing="1"/>
        <w:contextualSpacing/>
        <w:jc w:val="both"/>
      </w:pPr>
    </w:p>
    <w:p>
      <w:pPr>
        <w:widowControl/>
        <w:adjustRightInd w:val="0"/>
        <w:snapToGrid w:val="0"/>
        <w:spacing w:before="100" w:beforeAutospacing="1" w:after="100" w:afterAutospacing="1"/>
        <w:contextualSpacing/>
        <w:jc w:val="both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drawing>
          <wp:inline distT="0" distB="0" distL="114300" distR="114300">
            <wp:extent cx="933450" cy="295275"/>
            <wp:effectExtent l="0" t="0" r="0" b="9525"/>
            <wp:docPr id="1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买家中心入口</w:t>
      </w:r>
    </w:p>
    <w:p>
      <w:pPr>
        <w:widowControl/>
        <w:adjustRightInd w:val="0"/>
        <w:snapToGrid w:val="0"/>
        <w:spacing w:before="100" w:beforeAutospacing="1" w:after="100" w:afterAutospacing="1"/>
        <w:contextualSpacing/>
        <w:jc w:val="both"/>
        <w:rPr>
          <w:rFonts w:hint="default" w:ascii="微软雅黑" w:hAnsi="微软雅黑" w:cs="宋体" w:eastAsiaTheme="minorEastAsia"/>
          <w:kern w:val="0"/>
          <w:szCs w:val="21"/>
          <w:lang w:val="en-US" w:eastAsia="zh-CN"/>
        </w:rPr>
      </w:pPr>
      <w:r>
        <w:drawing>
          <wp:inline distT="0" distB="0" distL="114300" distR="114300">
            <wp:extent cx="1028700" cy="428625"/>
            <wp:effectExtent l="0" t="0" r="0" b="9525"/>
            <wp:docPr id="1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、</w:t>
      </w:r>
      <w:r>
        <w:drawing>
          <wp:inline distT="0" distB="0" distL="114300" distR="114300">
            <wp:extent cx="590550" cy="619125"/>
            <wp:effectExtent l="0" t="0" r="0" b="9525"/>
            <wp:docPr id="1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卖家店铺入口</w:t>
      </w:r>
    </w:p>
    <w:p>
      <w:pPr>
        <w:widowControl/>
        <w:adjustRightInd w:val="0"/>
        <w:snapToGrid w:val="0"/>
        <w:spacing w:before="100" w:beforeAutospacing="1" w:after="100" w:afterAutospacing="1"/>
        <w:contextualSpacing/>
        <w:jc w:val="both"/>
      </w:pPr>
      <w:r>
        <w:drawing>
          <wp:inline distT="0" distB="0" distL="114300" distR="114300">
            <wp:extent cx="1028700" cy="295275"/>
            <wp:effectExtent l="0" t="0" r="0" b="9525"/>
            <wp:docPr id="1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：热点问题解答</w:t>
      </w:r>
    </w:p>
    <w:p>
      <w:pPr>
        <w:widowControl/>
        <w:adjustRightInd w:val="0"/>
        <w:snapToGrid w:val="0"/>
        <w:spacing w:before="100" w:beforeAutospacing="1" w:after="100" w:afterAutospacing="1"/>
        <w:contextualSpacing/>
        <w:jc w:val="both"/>
        <w:rPr>
          <w:rFonts w:hint="eastAsia" w:ascii="微软雅黑" w:hAnsi="微软雅黑" w:eastAsia="微软雅黑" w:cs="宋体"/>
          <w:kern w:val="0"/>
          <w:szCs w:val="21"/>
          <w:lang w:eastAsia="zh-CN"/>
        </w:rPr>
      </w:pPr>
    </w:p>
    <w:p>
      <w:pPr>
        <w:widowControl/>
        <w:adjustRightInd w:val="0"/>
        <w:snapToGrid w:val="0"/>
        <w:spacing w:before="100" w:beforeAutospacing="1" w:after="100" w:afterAutospacing="1"/>
        <w:contextualSpacing/>
        <w:jc w:val="both"/>
        <w:rPr>
          <w:rFonts w:hint="default" w:ascii="微软雅黑" w:hAnsi="微软雅黑" w:cs="宋体" w:eastAsiaTheme="minorEastAsia"/>
          <w:kern w:val="0"/>
          <w:szCs w:val="21"/>
          <w:lang w:val="en-US" w:eastAsia="zh-CN"/>
        </w:rPr>
      </w:pPr>
      <w:r>
        <w:drawing>
          <wp:inline distT="0" distB="0" distL="114300" distR="114300">
            <wp:extent cx="3086100" cy="704850"/>
            <wp:effectExtent l="0" t="0" r="0" b="0"/>
            <wp:docPr id="1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：商品搜索</w:t>
      </w:r>
    </w:p>
    <w:p>
      <w:pPr>
        <w:pStyle w:val="3"/>
        <w:rPr>
          <w:rFonts w:hint="eastAsia"/>
          <w:sz w:val="28"/>
          <w:szCs w:val="28"/>
          <w:lang w:val="en-US" w:eastAsia="zh-CN"/>
        </w:rPr>
      </w:pPr>
      <w:bookmarkStart w:id="11" w:name="_Toc28736"/>
      <w:r>
        <w:rPr>
          <w:rFonts w:hint="eastAsia"/>
          <w:sz w:val="28"/>
          <w:szCs w:val="28"/>
          <w:lang w:val="en-US" w:eastAsia="zh-CN"/>
        </w:rPr>
        <w:t>6.3商城管理</w:t>
      </w:r>
      <w:bookmarkEnd w:id="11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商城管理</w:t>
      </w:r>
      <w:r>
        <w:rPr>
          <w:rFonts w:hint="eastAsia" w:ascii="微软雅黑" w:hAnsi="微软雅黑" w:eastAsia="微软雅黑"/>
        </w:rPr>
        <w:t>功能模块</w:t>
      </w:r>
      <w:r>
        <w:rPr>
          <w:rFonts w:hint="eastAsia" w:ascii="微软雅黑" w:hAnsi="微软雅黑" w:eastAsia="微软雅黑"/>
          <w:lang w:val="en-US" w:eastAsia="zh-CN"/>
        </w:rPr>
        <w:t>下有</w:t>
      </w:r>
      <w:r>
        <w:rPr>
          <w:rFonts w:hint="eastAsia" w:ascii="微软雅黑" w:hAnsi="微软雅黑" w:eastAsia="微软雅黑"/>
        </w:rPr>
        <w:t>：</w:t>
      </w:r>
      <w:r>
        <w:rPr>
          <w:rFonts w:hint="eastAsia" w:ascii="微软雅黑" w:hAnsi="微软雅黑" w:eastAsia="微软雅黑"/>
          <w:lang w:val="en-US" w:eastAsia="zh-CN"/>
        </w:rPr>
        <w:t>店铺管理、商品管理、促销推广、订单交易、合同交易、物流配送、客户服务等7个子模块。</w:t>
      </w:r>
    </w:p>
    <w:p>
      <w:pPr>
        <w:pStyle w:val="4"/>
        <w:rPr>
          <w:rFonts w:hint="eastAsia"/>
          <w:sz w:val="24"/>
          <w:szCs w:val="24"/>
          <w:lang w:val="en-US" w:eastAsia="zh-CN"/>
        </w:rPr>
      </w:pPr>
      <w:bookmarkStart w:id="12" w:name="_Toc20824"/>
      <w:r>
        <w:rPr>
          <w:rFonts w:hint="eastAsia"/>
          <w:sz w:val="24"/>
          <w:szCs w:val="24"/>
          <w:lang w:val="en-US" w:eastAsia="zh-CN"/>
        </w:rPr>
        <w:t>6.3.1店铺管理</w:t>
      </w:r>
      <w:bookmarkEnd w:id="12"/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店铺管理模块下有：店铺入驻、店铺信息、商品分类、店铺广告管理等子模块。</w:t>
      </w:r>
    </w:p>
    <w:p>
      <w:pPr>
        <w:pStyle w:val="5"/>
        <w:outlineLvl w:val="3"/>
        <w:rPr>
          <w:rFonts w:hint="default" w:eastAsia="微软雅黑"/>
          <w:b/>
          <w:sz w:val="21"/>
          <w:lang w:val="en-US" w:eastAsia="zh-CN"/>
        </w:rPr>
      </w:pPr>
      <w:bookmarkStart w:id="13" w:name="_Toc5314"/>
      <w:r>
        <w:rPr>
          <w:rFonts w:hint="eastAsia" w:eastAsia="微软雅黑"/>
          <w:b/>
          <w:sz w:val="21"/>
          <w:lang w:val="en-US" w:eastAsia="zh-CN"/>
        </w:rPr>
        <w:t>6.3.1.1</w:t>
      </w:r>
      <w:r>
        <w:rPr>
          <w:rFonts w:hint="eastAsia" w:ascii="微软雅黑" w:hAnsi="微软雅黑" w:eastAsia="微软雅黑"/>
          <w:b/>
          <w:sz w:val="21"/>
          <w:lang w:val="en-US" w:eastAsia="zh-CN"/>
        </w:rPr>
        <w:t>店铺入驻</w:t>
      </w:r>
      <w:r>
        <w:rPr>
          <w:rFonts w:hint="eastAsia" w:ascii="微软雅黑" w:hAnsi="微软雅黑" w:eastAsia="微软雅黑"/>
          <w:b/>
          <w:sz w:val="21"/>
          <w:lang w:val="en-US" w:eastAsia="zh-CN"/>
        </w:rPr>
        <w:t>信息</w:t>
      </w:r>
      <w:bookmarkEnd w:id="13"/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eastAsia" w:ascii="微软雅黑" w:hAnsi="微软雅黑" w:eastAsia="微软雅黑" w:cs="宋体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卖家可在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“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店铺入驻”模块下查看商城账户实名认证、店铺开店认证等详情信息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。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default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途径如下：“商城管理”—“店铺管理”—“店铺入驻”。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jc w:val="center"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drawing>
          <wp:inline distT="0" distB="0" distL="114300" distR="114300">
            <wp:extent cx="5270500" cy="2203450"/>
            <wp:effectExtent l="0" t="0" r="635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14" w:name="_Toc97"/>
      <w:r>
        <w:rPr>
          <w:rFonts w:hint="eastAsia" w:eastAsia="微软雅黑"/>
          <w:b/>
          <w:sz w:val="21"/>
          <w:lang w:val="en-US" w:eastAsia="zh-CN"/>
        </w:rPr>
        <w:t>6.3.1.2店铺信息设置</w:t>
      </w:r>
      <w:bookmarkEnd w:id="14"/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eastAsia" w:ascii="微软雅黑" w:hAnsi="微软雅黑" w:eastAsia="微软雅黑" w:cs="宋体"/>
          <w:kern w:val="0"/>
          <w:szCs w:val="21"/>
          <w:lang w:eastAsia="zh-CN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卖家可在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“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店铺信息”</w:t>
      </w:r>
      <w:r>
        <w:rPr>
          <w:rFonts w:hint="eastAsia" w:ascii="微软雅黑" w:hAnsi="微软雅黑" w:eastAsia="微软雅黑" w:cs="宋体"/>
          <w:kern w:val="0"/>
          <w:szCs w:val="21"/>
        </w:rPr>
        <w:t>页面中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设</w:t>
      </w:r>
      <w:r>
        <w:rPr>
          <w:rFonts w:hint="eastAsia" w:ascii="微软雅黑" w:hAnsi="微软雅黑" w:eastAsia="微软雅黑" w:cs="宋体"/>
          <w:kern w:val="0"/>
          <w:szCs w:val="21"/>
        </w:rPr>
        <w:t>置店铺的基本信息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/>
        <w:ind w:firstLine="420" w:firstLineChars="200"/>
        <w:contextualSpacing/>
        <w:jc w:val="both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店铺信息设置途径如下：“首页”—“店铺信息”（如图1）。或“商城管理”—“店铺管理”—“店铺入驻”—“店铺信息设置”（如图2）。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jc w:val="center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drawing>
          <wp:inline distT="0" distB="0" distL="114300" distR="114300">
            <wp:extent cx="5264150" cy="1272540"/>
            <wp:effectExtent l="0" t="0" r="12700" b="3810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adjustRightInd w:val="0"/>
        <w:snapToGrid w:val="0"/>
        <w:spacing w:before="100" w:beforeAutospacing="1" w:after="100" w:afterAutospacing="1"/>
        <w:contextualSpacing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widowControl/>
        <w:numPr>
          <w:ilvl w:val="0"/>
          <w:numId w:val="0"/>
        </w:numPr>
        <w:adjustRightInd w:val="0"/>
        <w:snapToGrid w:val="0"/>
        <w:spacing w:before="100" w:beforeAutospacing="1" w:after="100" w:afterAutospacing="1"/>
        <w:contextualSpacing/>
        <w:jc w:val="center"/>
      </w:pPr>
      <w:r>
        <w:drawing>
          <wp:inline distT="0" distB="0" distL="114300" distR="114300">
            <wp:extent cx="5274310" cy="2552065"/>
            <wp:effectExtent l="0" t="0" r="2540" b="63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0"/>
        </w:numPr>
        <w:adjustRightInd w:val="0"/>
        <w:snapToGrid w:val="0"/>
        <w:spacing w:before="100" w:beforeAutospacing="1" w:after="100" w:afterAutospacing="1"/>
        <w:contextualSpacing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widowControl/>
        <w:numPr>
          <w:ilvl w:val="0"/>
          <w:numId w:val="0"/>
        </w:numPr>
        <w:adjustRightInd w:val="0"/>
        <w:snapToGrid w:val="0"/>
        <w:spacing w:before="100" w:beforeAutospacing="1" w:after="100" w:afterAutospacing="1"/>
        <w:contextualSpacing/>
        <w:jc w:val="center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/>
        <w:ind w:firstLine="420" w:firstLineChars="200"/>
        <w:contextualSpacing/>
        <w:jc w:val="both"/>
        <w:textAlignment w:val="auto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卖家可在“店铺信息设置”页面设置客服联系方式、添加售前售后客服账号、店铺logo、关键词、店铺描述等等。如下图所示：</w:t>
      </w:r>
    </w:p>
    <w:p>
      <w:pPr>
        <w:widowControl/>
        <w:adjustRightInd w:val="0"/>
        <w:snapToGrid w:val="0"/>
        <w:spacing w:before="100" w:beforeAutospacing="1" w:after="100" w:afterAutospacing="1"/>
        <w:contextualSpacing/>
        <w:jc w:val="center"/>
      </w:pPr>
      <w:r>
        <w:drawing>
          <wp:inline distT="0" distB="0" distL="114300" distR="114300">
            <wp:extent cx="4616450" cy="3169285"/>
            <wp:effectExtent l="0" t="0" r="12700" b="1206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00" w:beforeAutospacing="1" w:after="100" w:afterAutospacing="1"/>
        <w:contextualSpacing/>
        <w:jc w:val="center"/>
      </w:pPr>
      <w:r>
        <w:drawing>
          <wp:inline distT="0" distB="0" distL="114300" distR="114300">
            <wp:extent cx="3787775" cy="3608070"/>
            <wp:effectExtent l="0" t="0" r="3175" b="1143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777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15" w:name="_Toc7715"/>
      <w:r>
        <w:rPr>
          <w:rFonts w:hint="eastAsia" w:eastAsia="微软雅黑"/>
          <w:b/>
          <w:sz w:val="21"/>
          <w:lang w:val="en-US" w:eastAsia="zh-CN"/>
        </w:rPr>
        <w:t>6.3.1.3商品分类</w:t>
      </w:r>
      <w:bookmarkEnd w:id="15"/>
    </w:p>
    <w:p>
      <w:pPr>
        <w:pStyle w:val="3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/>
        <w:ind w:left="420" w:leftChars="0" w:firstLine="420" w:firstLineChars="200"/>
        <w:contextualSpacing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</w:t>
      </w:r>
      <w:r>
        <w:rPr>
          <w:rFonts w:ascii="微软雅黑" w:hAnsi="微软雅黑" w:eastAsia="微软雅黑"/>
        </w:rPr>
        <w:t>可以自行设置店内商品的分类，</w:t>
      </w:r>
      <w:r>
        <w:rPr>
          <w:rFonts w:hint="eastAsia" w:ascii="微软雅黑" w:hAnsi="微软雅黑" w:eastAsia="微软雅黑"/>
        </w:rPr>
        <w:t>在</w:t>
      </w:r>
      <w:r>
        <w:rPr>
          <w:rFonts w:ascii="微软雅黑" w:hAnsi="微软雅黑" w:eastAsia="微软雅黑"/>
        </w:rPr>
        <w:t>商品发布时，可以</w:t>
      </w:r>
      <w:r>
        <w:rPr>
          <w:rFonts w:hint="eastAsia" w:ascii="微软雅黑" w:hAnsi="微软雅黑" w:eastAsia="微软雅黑"/>
        </w:rPr>
        <w:t>选择</w:t>
      </w:r>
      <w:r>
        <w:rPr>
          <w:rFonts w:ascii="微软雅黑" w:hAnsi="微软雅黑" w:eastAsia="微软雅黑"/>
        </w:rPr>
        <w:t>商品对应的分类，方便</w:t>
      </w:r>
      <w:r>
        <w:rPr>
          <w:rFonts w:hint="eastAsia" w:ascii="微软雅黑" w:hAnsi="微软雅黑" w:eastAsia="微软雅黑"/>
          <w:lang w:val="en-US" w:eastAsia="zh-CN"/>
        </w:rPr>
        <w:t>在店铺快速</w:t>
      </w:r>
      <w:r>
        <w:rPr>
          <w:rFonts w:ascii="微软雅黑" w:hAnsi="微软雅黑" w:eastAsia="微软雅黑"/>
        </w:rPr>
        <w:t>查找所需要的商品。</w:t>
      </w:r>
      <w:r>
        <w:rPr>
          <w:rFonts w:hint="eastAsia" w:ascii="微软雅黑" w:hAnsi="微软雅黑" w:eastAsia="微软雅黑"/>
          <w:lang w:val="en-US" w:eastAsia="zh-CN"/>
        </w:rPr>
        <w:t>操作如下：</w:t>
      </w:r>
    </w:p>
    <w:p>
      <w:pPr>
        <w:pStyle w:val="34"/>
        <w:widowControl/>
        <w:numPr>
          <w:ilvl w:val="0"/>
          <w:numId w:val="6"/>
        </w:numPr>
        <w:adjustRightInd w:val="0"/>
        <w:snapToGrid w:val="0"/>
        <w:spacing w:before="100" w:beforeAutospacing="1" w:after="100" w:afterAutospacing="1"/>
        <w:ind w:left="420" w:leftChars="0"/>
        <w:contextualSpacing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商城管理”—“店铺管理。”—“建材商品分类”—“添加”。</w:t>
      </w:r>
    </w:p>
    <w:p>
      <w:pPr>
        <w:pStyle w:val="34"/>
        <w:widowControl/>
        <w:numPr>
          <w:ilvl w:val="0"/>
          <w:numId w:val="0"/>
        </w:numPr>
        <w:adjustRightInd w:val="0"/>
        <w:snapToGrid w:val="0"/>
        <w:spacing w:before="100" w:beforeAutospacing="1" w:after="100" w:afterAutospacing="1"/>
        <w:ind w:leftChars="200"/>
        <w:contextualSpacing/>
        <w:jc w:val="center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drawing>
          <wp:inline distT="0" distB="0" distL="114300" distR="114300">
            <wp:extent cx="5267325" cy="1745615"/>
            <wp:effectExtent l="0" t="0" r="9525" b="698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4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widowControl/>
        <w:numPr>
          <w:ilvl w:val="0"/>
          <w:numId w:val="6"/>
        </w:numPr>
        <w:adjustRightInd w:val="0"/>
        <w:snapToGrid w:val="0"/>
        <w:spacing w:before="100" w:beforeAutospacing="1" w:after="100" w:afterAutospacing="1"/>
        <w:ind w:left="420" w:leftChars="0"/>
        <w:contextualSpacing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填写分类名称、选择父类（即上级分类。若所添加的分类为1级分类，则父类为无）。填写完整后点击“确定”即可。</w:t>
      </w:r>
    </w:p>
    <w:p>
      <w:pPr>
        <w:pStyle w:val="3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/>
        <w:ind w:left="420" w:leftChars="0" w:firstLine="420" w:firstLineChars="200"/>
        <w:contextualSpacing/>
        <w:jc w:val="center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4846320" cy="2162810"/>
            <wp:effectExtent l="0" t="0" r="11430" b="889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216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/>
        <w:ind w:left="420" w:leftChars="0" w:firstLine="420" w:firstLineChars="200"/>
        <w:contextualSpacing/>
        <w:jc w:val="both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前台展示效果如下图所示：</w:t>
      </w:r>
    </w:p>
    <w:p>
      <w:pPr>
        <w:pStyle w:val="34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/>
        <w:ind w:left="420" w:leftChars="0" w:firstLine="420" w:firstLineChars="200"/>
        <w:contextualSpacing/>
        <w:jc w:val="center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67960" cy="1824990"/>
            <wp:effectExtent l="0" t="0" r="8890" b="381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16" w:name="_Toc23661"/>
      <w:r>
        <w:rPr>
          <w:rFonts w:hint="eastAsia" w:eastAsia="微软雅黑"/>
          <w:b/>
          <w:sz w:val="21"/>
          <w:lang w:val="en-US" w:eastAsia="zh-CN"/>
        </w:rPr>
        <w:t>6.3.1.4店铺广告管理</w:t>
      </w:r>
      <w:bookmarkEnd w:id="16"/>
    </w:p>
    <w:p>
      <w:pPr>
        <w:pStyle w:val="34"/>
        <w:widowControl/>
        <w:numPr>
          <w:ilvl w:val="0"/>
          <w:numId w:val="0"/>
        </w:numPr>
        <w:adjustRightInd w:val="0"/>
        <w:snapToGrid w:val="0"/>
        <w:spacing w:before="100" w:beforeAutospacing="1" w:after="100" w:afterAutospacing="1"/>
        <w:ind w:leftChars="200"/>
        <w:contextualSpacing/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</w:pPr>
      <w:r>
        <w:rPr>
          <w:rFonts w:hint="eastAsia" w:ascii="微软雅黑" w:hAnsi="微软雅黑" w:eastAsia="微软雅黑" w:cs="宋体"/>
          <w:kern w:val="0"/>
          <w:sz w:val="21"/>
          <w:szCs w:val="21"/>
          <w:lang w:val="en-US" w:eastAsia="zh-CN" w:bidi="ar-SA"/>
        </w:rPr>
        <w:t>广告图设置途径：</w:t>
      </w:r>
    </w:p>
    <w:p>
      <w:pPr>
        <w:pStyle w:val="34"/>
        <w:widowControl/>
        <w:numPr>
          <w:ilvl w:val="0"/>
          <w:numId w:val="7"/>
        </w:numPr>
        <w:adjustRightInd w:val="0"/>
        <w:snapToGrid w:val="0"/>
        <w:spacing w:before="100" w:beforeAutospacing="1" w:after="100" w:afterAutospacing="1"/>
        <w:ind w:leftChars="200"/>
        <w:contextualSpacing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商城管理”—“店铺管理。”—“建材商品分类”—“添加”。</w:t>
      </w:r>
    </w:p>
    <w:p>
      <w:pPr>
        <w:pStyle w:val="34"/>
        <w:widowControl/>
        <w:numPr>
          <w:ilvl w:val="0"/>
          <w:numId w:val="0"/>
        </w:numPr>
        <w:adjustRightInd w:val="0"/>
        <w:snapToGrid w:val="0"/>
        <w:spacing w:before="100" w:beforeAutospacing="1" w:after="100" w:afterAutospacing="1"/>
        <w:ind w:leftChars="400"/>
        <w:contextualSpacing/>
        <w:jc w:val="center"/>
      </w:pPr>
      <w:r>
        <w:drawing>
          <wp:inline distT="0" distB="0" distL="114300" distR="114300">
            <wp:extent cx="5269865" cy="1672590"/>
            <wp:effectExtent l="0" t="0" r="6985" b="3810"/>
            <wp:docPr id="3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7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4"/>
        <w:widowControl/>
        <w:numPr>
          <w:ilvl w:val="0"/>
          <w:numId w:val="7"/>
        </w:numPr>
        <w:adjustRightInd w:val="0"/>
        <w:snapToGrid w:val="0"/>
        <w:spacing w:before="100" w:beforeAutospacing="1" w:after="100" w:afterAutospacing="1"/>
        <w:ind w:leftChars="200"/>
        <w:contextualSpacing/>
        <w:rPr>
          <w:rFonts w:hint="default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 xml:space="preserve"> 填写广告标题、选择广告位置、上传广告图片等，填写完整后点击“确定”即可。</w:t>
      </w:r>
    </w:p>
    <w:p>
      <w:pPr>
        <w:pStyle w:val="34"/>
        <w:widowControl/>
        <w:numPr>
          <w:numId w:val="0"/>
        </w:numPr>
        <w:adjustRightInd w:val="0"/>
        <w:snapToGrid w:val="0"/>
        <w:spacing w:before="100" w:beforeAutospacing="1" w:after="100" w:afterAutospacing="1"/>
        <w:ind w:leftChars="400"/>
        <w:contextualSpacing/>
        <w:jc w:val="center"/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drawing>
          <wp:inline distT="0" distB="0" distL="114300" distR="114300">
            <wp:extent cx="5123815" cy="2635885"/>
            <wp:effectExtent l="0" t="0" r="635" b="12065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sz w:val="24"/>
          <w:szCs w:val="24"/>
          <w:lang w:val="en-US" w:eastAsia="zh-CN"/>
        </w:rPr>
      </w:pPr>
      <w:bookmarkStart w:id="17" w:name="_Toc28300"/>
      <w:r>
        <w:rPr>
          <w:rFonts w:hint="eastAsia"/>
          <w:sz w:val="24"/>
          <w:szCs w:val="24"/>
          <w:lang w:val="en-US" w:eastAsia="zh-CN"/>
        </w:rPr>
        <w:t>6.3.2商品管理</w:t>
      </w:r>
      <w:bookmarkEnd w:id="17"/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eastAsia"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商品管理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模块下有：建材商品列表、待售商品管理、审核未通过商品管理、违规商品管理、商品商家属性、品牌管理、收藏商品管理</w:t>
      </w:r>
      <w:r>
        <w:rPr>
          <w:rFonts w:hint="eastAsia" w:ascii="微软雅黑" w:hAnsi="微软雅黑" w:eastAsia="微软雅黑" w:cs="宋体"/>
          <w:kern w:val="0"/>
          <w:szCs w:val="21"/>
        </w:rPr>
        <w:t>等</w:t>
      </w:r>
      <w:r>
        <w:rPr>
          <w:rFonts w:hint="eastAsia" w:ascii="微软雅黑" w:hAnsi="微软雅黑" w:eastAsia="微软雅黑"/>
          <w:lang w:val="en-US" w:eastAsia="zh-CN"/>
        </w:rPr>
        <w:t>子模块</w:t>
      </w:r>
      <w:r>
        <w:rPr>
          <w:rFonts w:hint="eastAsia" w:ascii="微软雅黑" w:hAnsi="微软雅黑" w:eastAsia="微软雅黑" w:cs="宋体"/>
          <w:kern w:val="0"/>
          <w:szCs w:val="21"/>
        </w:rPr>
        <w:t>。</w:t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18" w:name="_Toc22057"/>
      <w:r>
        <w:rPr>
          <w:rFonts w:hint="eastAsia" w:eastAsia="微软雅黑"/>
          <w:b/>
          <w:sz w:val="21"/>
          <w:lang w:val="en-US" w:eastAsia="zh-CN"/>
        </w:rPr>
        <w:t>6.3.2.1建材商品列表</w:t>
      </w:r>
      <w:bookmarkEnd w:id="18"/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卖家可以在建材商品列表里对商品进行添加、编辑、删除、批量下架、设置广告词等操作。</w:t>
      </w:r>
    </w:p>
    <w:p>
      <w:pPr>
        <w:widowControl/>
        <w:numPr>
          <w:numId w:val="0"/>
        </w:numPr>
        <w:adjustRightInd w:val="0"/>
        <w:snapToGrid w:val="0"/>
        <w:spacing w:before="100" w:beforeAutospacing="1" w:after="100" w:afterAutospacing="1"/>
        <w:contextualSpacing/>
        <w:rPr>
          <w:rFonts w:hint="eastAsia" w:ascii="微软雅黑" w:hAnsi="微软雅黑" w:eastAsia="微软雅黑" w:cs="宋体"/>
          <w:b/>
          <w:bCs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b/>
          <w:bCs/>
          <w:kern w:val="0"/>
          <w:szCs w:val="21"/>
          <w:lang w:val="en-US" w:eastAsia="zh-CN"/>
        </w:rPr>
        <w:t>添加商品。流程如下：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/>
        <w:ind w:firstLine="420" w:firstLineChars="200"/>
        <w:contextualSpacing/>
        <w:textAlignment w:val="auto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选择商品分类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先选择大类，再逐级选择下级分类，直到最后一级分类选择完成后点击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“</w:t>
      </w:r>
      <w:r>
        <w:rPr>
          <w:rFonts w:hint="eastAsia" w:ascii="微软雅黑" w:hAnsi="微软雅黑" w:eastAsia="微软雅黑" w:cs="宋体"/>
          <w:kern w:val="0"/>
          <w:szCs w:val="21"/>
        </w:rPr>
        <w:t>下一步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，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 xml:space="preserve">填写详细信息”，如下图所示：  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default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drawing>
          <wp:inline distT="0" distB="0" distL="114300" distR="114300">
            <wp:extent cx="5570220" cy="1697355"/>
            <wp:effectExtent l="0" t="0" r="11430" b="17145"/>
            <wp:docPr id="3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/>
        <w:ind w:firstLine="420" w:firstLineChars="200"/>
        <w:contextualSpacing/>
        <w:textAlignment w:val="auto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填写商品详情</w:t>
      </w:r>
    </w:p>
    <w:p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/>
        <w:ind w:leftChars="0" w:firstLine="420" w:firstLineChars="200"/>
        <w:contextualSpacing/>
        <w:textAlignment w:val="auto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商品基本信息</w:t>
      </w:r>
    </w:p>
    <w:p>
      <w:pPr>
        <w:widowControl/>
        <w:numPr>
          <w:ilvl w:val="0"/>
          <w:numId w:val="0"/>
        </w:numPr>
        <w:adjustRightInd w:val="0"/>
        <w:snapToGrid w:val="0"/>
        <w:spacing w:before="100" w:beforeAutospacing="1" w:after="100" w:afterAutospacing="1"/>
        <w:contextualSpacing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</w:pPr>
      <w:r>
        <w:drawing>
          <wp:inline distT="0" distB="0" distL="114300" distR="114300">
            <wp:extent cx="5272405" cy="2443480"/>
            <wp:effectExtent l="0" t="0" r="4445" b="1397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</w:pP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温馨提示：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ascii="微软雅黑" w:hAnsi="微软雅黑" w:eastAsia="微软雅黑" w:cs="宋体"/>
          <w:kern w:val="0"/>
          <w:szCs w:val="21"/>
        </w:rPr>
      </w:pPr>
      <w:r>
        <w:rPr>
          <w:rFonts w:hint="eastAsia" w:ascii="微软雅黑" w:hAnsi="微软雅黑" w:eastAsia="微软雅黑" w:cs="宋体"/>
          <w:kern w:val="0"/>
          <w:szCs w:val="21"/>
        </w:rPr>
        <w:sym w:font="Wingdings" w:char="F081"/>
      </w:r>
      <w:r>
        <w:rPr>
          <w:rFonts w:hint="eastAsia" w:ascii="微软雅黑" w:hAnsi="微软雅黑" w:eastAsia="微软雅黑" w:cs="宋体"/>
          <w:kern w:val="0"/>
          <w:szCs w:val="21"/>
        </w:rPr>
        <w:t>“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商品品牌</w:t>
      </w:r>
      <w:r>
        <w:rPr>
          <w:rFonts w:hint="eastAsia" w:ascii="微软雅黑" w:hAnsi="微软雅黑" w:eastAsia="微软雅黑" w:cs="宋体"/>
          <w:kern w:val="0"/>
          <w:szCs w:val="21"/>
        </w:rPr>
        <w:t>”：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default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</w:rPr>
        <w:t>卖家可以在“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品牌管理</w:t>
      </w:r>
      <w:r>
        <w:rPr>
          <w:rFonts w:hint="eastAsia" w:ascii="微软雅黑" w:hAnsi="微软雅黑" w:eastAsia="微软雅黑" w:cs="宋体"/>
          <w:kern w:val="0"/>
          <w:szCs w:val="21"/>
        </w:rPr>
        <w:t>”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模块中添加品牌，待平台管理员审核通过后，即可在商品信息中选择。添加方式详见</w:t>
      </w:r>
      <w:r>
        <w:rPr>
          <w:rFonts w:hint="eastAsia"/>
          <w:lang w:val="en-US" w:eastAsia="zh-CN"/>
        </w:rPr>
        <w:t>6.3.2.6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numPr>
          <w:ilvl w:val="0"/>
          <w:numId w:val="9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/>
        <w:ind w:leftChars="0" w:firstLine="420" w:firstLineChars="200"/>
        <w:contextualSpacing/>
        <w:textAlignment w:val="auto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商品属性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default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商品属性即商品的规格。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drawing>
          <wp:inline distT="0" distB="0" distL="114300" distR="114300">
            <wp:extent cx="5266690" cy="1831340"/>
            <wp:effectExtent l="0" t="0" r="10160" b="16510"/>
            <wp:docPr id="4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3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</w:pP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温馨提示：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</w:rPr>
        <w:sym w:font="Wingdings" w:char="F081"/>
      </w:r>
      <w:r>
        <w:rPr>
          <w:rFonts w:hint="eastAsia" w:ascii="微软雅黑" w:hAnsi="微软雅黑" w:eastAsia="微软雅黑" w:cs="宋体"/>
          <w:kern w:val="0"/>
          <w:szCs w:val="21"/>
        </w:rPr>
        <w:t>“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属性名称</w:t>
      </w:r>
      <w:r>
        <w:rPr>
          <w:rFonts w:hint="eastAsia" w:ascii="微软雅黑" w:hAnsi="微软雅黑" w:eastAsia="微软雅黑" w:cs="宋体"/>
          <w:kern w:val="0"/>
          <w:szCs w:val="21"/>
        </w:rPr>
        <w:t>”：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由平台设定。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/>
        </w:rPr>
        <w:sym w:font="Wingdings" w:char="F082"/>
      </w:r>
      <w:r>
        <w:rPr>
          <w:rFonts w:hint="eastAsia" w:ascii="微软雅黑" w:hAnsi="微软雅黑" w:eastAsia="微软雅黑" w:cs="宋体"/>
          <w:kern w:val="0"/>
          <w:szCs w:val="21"/>
        </w:rPr>
        <w:t>“</w:t>
      </w:r>
      <w:r>
        <w:rPr>
          <w:rFonts w:hint="eastAsia" w:ascii="微软雅黑" w:hAnsi="微软雅黑" w:eastAsia="微软雅黑"/>
          <w:lang w:val="en-US" w:eastAsia="zh-CN"/>
        </w:rPr>
        <w:t>属性值</w:t>
      </w:r>
      <w:r>
        <w:rPr>
          <w:rFonts w:hint="eastAsia" w:ascii="微软雅黑" w:hAnsi="微软雅黑" w:eastAsia="微软雅黑" w:cs="宋体"/>
          <w:kern w:val="0"/>
          <w:szCs w:val="21"/>
        </w:rPr>
        <w:t>”</w:t>
      </w:r>
      <w:r>
        <w:rPr>
          <w:rFonts w:hint="eastAsia" w:ascii="微软雅黑" w:hAnsi="微软雅黑" w:eastAsia="微软雅黑" w:cs="宋体"/>
          <w:kern w:val="0"/>
          <w:szCs w:val="21"/>
          <w:lang w:eastAsia="zh-CN"/>
        </w:rPr>
        <w:t>：</w:t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由商家设定。</w:t>
      </w:r>
    </w:p>
    <w:p>
      <w:pPr>
        <w:keepNext w:val="0"/>
        <w:keepLines w:val="0"/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00" w:beforeAutospacing="1" w:after="100" w:afterAutospacing="1"/>
        <w:ind w:firstLine="420" w:firstLineChars="200"/>
        <w:contextualSpacing/>
        <w:textAlignment w:val="auto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商品发布成功。</w:t>
      </w:r>
    </w:p>
    <w:p>
      <w:pPr>
        <w:widowControl/>
        <w:adjustRightInd w:val="0"/>
        <w:snapToGrid w:val="0"/>
        <w:spacing w:before="100" w:beforeAutospacing="1" w:after="100" w:afterAutospacing="1"/>
        <w:ind w:firstLine="420" w:firstLineChars="200"/>
        <w:contextualSpacing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点击“确定”即可成功发布商品。待平台管理员审核通过即可在店铺展示。</w:t>
      </w:r>
    </w:p>
    <w:p>
      <w:pPr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sym w:font="Wingdings" w:char="F081"/>
      </w:r>
      <w:r>
        <w:rPr>
          <w:rFonts w:hint="eastAsia" w:ascii="微软雅黑" w:hAnsi="微软雅黑" w:eastAsia="微软雅黑"/>
        </w:rPr>
        <w:t>点击“</w:t>
      </w:r>
      <w:r>
        <w:drawing>
          <wp:inline distT="0" distB="0" distL="114300" distR="114300">
            <wp:extent cx="542925" cy="276225"/>
            <wp:effectExtent l="0" t="0" r="9525" b="952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”</w:t>
      </w:r>
      <w:r>
        <w:rPr>
          <w:rFonts w:hint="eastAsia" w:ascii="微软雅黑" w:hAnsi="微软雅黑" w:eastAsia="微软雅黑"/>
          <w:lang w:eastAsia="zh-CN"/>
        </w:rPr>
        <w:t>、“</w:t>
      </w:r>
      <w:r>
        <w:drawing>
          <wp:inline distT="0" distB="0" distL="114300" distR="114300">
            <wp:extent cx="209550" cy="257175"/>
            <wp:effectExtent l="0" t="0" r="0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t>”</w:t>
      </w:r>
      <w:r>
        <w:rPr>
          <w:rFonts w:hint="eastAsia" w:ascii="微软雅黑" w:hAnsi="微软雅黑" w:eastAsia="微软雅黑"/>
        </w:rPr>
        <w:t>按钮可重新编辑商品；</w:t>
      </w:r>
    </w:p>
    <w:p>
      <w:pPr>
        <w:ind w:firstLine="420" w:firstLineChars="20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sym w:font="Wingdings" w:char="F082"/>
      </w:r>
      <w:r>
        <w:rPr>
          <w:rFonts w:hint="eastAsia" w:ascii="微软雅黑" w:hAnsi="微软雅黑" w:eastAsia="微软雅黑"/>
        </w:rPr>
        <w:t>点击“</w:t>
      </w:r>
      <w:r>
        <w:drawing>
          <wp:inline distT="0" distB="0" distL="114300" distR="114300">
            <wp:extent cx="561975" cy="285750"/>
            <wp:effectExtent l="0" t="0" r="9525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”</w:t>
      </w:r>
      <w:r>
        <w:rPr>
          <w:rFonts w:hint="eastAsia" w:ascii="微软雅黑" w:hAnsi="微软雅黑" w:eastAsia="微软雅黑"/>
          <w:lang w:eastAsia="zh-CN"/>
        </w:rPr>
        <w:t>、“</w:t>
      </w:r>
      <w:r>
        <w:drawing>
          <wp:inline distT="0" distB="0" distL="114300" distR="114300">
            <wp:extent cx="238125" cy="219075"/>
            <wp:effectExtent l="0" t="0" r="9525" b="952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eastAsia="zh-CN"/>
        </w:rPr>
        <w:t>”</w:t>
      </w:r>
      <w:r>
        <w:rPr>
          <w:rFonts w:hint="eastAsia" w:ascii="微软雅黑" w:hAnsi="微软雅黑" w:eastAsia="微软雅黑"/>
        </w:rPr>
        <w:t>按钮可</w:t>
      </w:r>
      <w:r>
        <w:rPr>
          <w:rFonts w:hint="eastAsia" w:ascii="微软雅黑" w:hAnsi="微软雅黑" w:eastAsia="微软雅黑"/>
          <w:lang w:val="en-US" w:eastAsia="zh-CN"/>
        </w:rPr>
        <w:t>删除</w:t>
      </w:r>
      <w:r>
        <w:rPr>
          <w:rFonts w:hint="eastAsia" w:ascii="微软雅黑" w:hAnsi="微软雅黑" w:eastAsia="微软雅黑"/>
        </w:rPr>
        <w:t>商品；</w:t>
      </w:r>
    </w:p>
    <w:p>
      <w:pPr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sym w:font="Wingdings" w:char="F083"/>
      </w:r>
      <w:r>
        <w:rPr>
          <w:rFonts w:hint="eastAsia" w:ascii="微软雅黑" w:hAnsi="微软雅黑" w:eastAsia="微软雅黑"/>
        </w:rPr>
        <w:t>点击“</w:t>
      </w:r>
      <w:r>
        <w:drawing>
          <wp:inline distT="0" distB="0" distL="114300" distR="114300">
            <wp:extent cx="561975" cy="238125"/>
            <wp:effectExtent l="0" t="0" r="9525" b="9525"/>
            <wp:docPr id="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”按钮可</w:t>
      </w:r>
      <w:r>
        <w:rPr>
          <w:rFonts w:hint="eastAsia" w:ascii="微软雅黑" w:hAnsi="微软雅黑" w:eastAsia="微软雅黑"/>
          <w:lang w:val="en-US" w:eastAsia="zh-CN"/>
        </w:rPr>
        <w:t>对</w:t>
      </w:r>
      <w:r>
        <w:rPr>
          <w:rFonts w:hint="eastAsia" w:ascii="微软雅黑" w:hAnsi="微软雅黑" w:eastAsia="微软雅黑"/>
        </w:rPr>
        <w:t>商品</w:t>
      </w:r>
      <w:r>
        <w:rPr>
          <w:rFonts w:hint="eastAsia" w:ascii="微软雅黑" w:hAnsi="微软雅黑" w:eastAsia="微软雅黑"/>
          <w:lang w:val="en-US" w:eastAsia="zh-CN"/>
        </w:rPr>
        <w:t>进行批量下架</w:t>
      </w:r>
      <w:r>
        <w:rPr>
          <w:rFonts w:hint="eastAsia" w:ascii="微软雅黑" w:hAnsi="微软雅黑" w:eastAsia="微软雅黑"/>
        </w:rPr>
        <w:t>；</w:t>
      </w:r>
    </w:p>
    <w:p>
      <w:pPr>
        <w:ind w:firstLine="420" w:firstLineChars="20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drawing>
          <wp:inline distT="0" distB="0" distL="114300" distR="114300">
            <wp:extent cx="914400" cy="314325"/>
            <wp:effectExtent l="0" t="0" r="0" b="9525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”可设置商品广告词</w:t>
      </w:r>
      <w:r>
        <w:rPr>
          <w:rFonts w:hint="eastAsia" w:ascii="微软雅黑" w:hAnsi="微软雅黑" w:eastAsia="微软雅黑"/>
        </w:rPr>
        <w:t>。</w:t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19" w:name="_Toc30355"/>
      <w:r>
        <w:rPr>
          <w:rFonts w:hint="eastAsia" w:eastAsia="微软雅黑"/>
          <w:b/>
          <w:sz w:val="21"/>
          <w:lang w:val="en-US" w:eastAsia="zh-CN"/>
        </w:rPr>
        <w:t>6.3.2.2待售商品管理</w:t>
      </w:r>
      <w:bookmarkEnd w:id="19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/>
        </w:rPr>
        <w:t>在“</w:t>
      </w:r>
      <w:r>
        <w:rPr>
          <w:rFonts w:hint="eastAsia" w:ascii="微软雅黑" w:hAnsi="微软雅黑" w:eastAsia="微软雅黑"/>
          <w:lang w:val="en-US" w:eastAsia="zh-CN"/>
        </w:rPr>
        <w:t>待售商品管理</w:t>
      </w:r>
      <w:r>
        <w:rPr>
          <w:rFonts w:hint="eastAsia" w:ascii="微软雅黑" w:hAnsi="微软雅黑" w:eastAsia="微软雅黑"/>
        </w:rPr>
        <w:t>”页面中，</w:t>
      </w:r>
      <w:r>
        <w:rPr>
          <w:rFonts w:hint="eastAsia" w:ascii="微软雅黑" w:hAnsi="微软雅黑" w:eastAsia="微软雅黑"/>
          <w:lang w:val="en-US" w:eastAsia="zh-CN"/>
        </w:rPr>
        <w:t>卖家</w:t>
      </w:r>
      <w:r>
        <w:rPr>
          <w:rFonts w:hint="eastAsia" w:ascii="微软雅黑" w:hAnsi="微软雅黑" w:eastAsia="微软雅黑"/>
        </w:rPr>
        <w:t>可以查看</w:t>
      </w:r>
      <w:r>
        <w:rPr>
          <w:rFonts w:hint="eastAsia" w:ascii="微软雅黑" w:hAnsi="微软雅黑" w:eastAsia="微软雅黑"/>
          <w:lang w:val="en-US" w:eastAsia="zh-CN"/>
        </w:rPr>
        <w:t>审核通过但未上架的</w:t>
      </w:r>
      <w:r>
        <w:rPr>
          <w:rFonts w:hint="eastAsia" w:ascii="微软雅黑" w:hAnsi="微软雅黑" w:eastAsia="微软雅黑"/>
        </w:rPr>
        <w:t>商品。</w:t>
      </w:r>
      <w:r>
        <w:rPr>
          <w:rFonts w:hint="eastAsia" w:ascii="微软雅黑" w:hAnsi="微软雅黑" w:eastAsia="微软雅黑"/>
          <w:lang w:val="en-US" w:eastAsia="zh-CN"/>
        </w:rPr>
        <w:t>也可</w:t>
      </w:r>
      <w:r>
        <w:rPr>
          <w:rFonts w:hint="eastAsia" w:ascii="微软雅黑" w:hAnsi="微软雅黑" w:eastAsia="微软雅黑" w:cs="微软雅黑"/>
          <w:lang w:val="en-US" w:eastAsia="zh-CN"/>
        </w:rPr>
        <w:t>进行商品添加、编辑、删除、批量下架、设置广告词等操作。商品添加操作流程详见</w:t>
      </w:r>
      <w:r>
        <w:rPr>
          <w:rFonts w:hint="eastAsia"/>
          <w:lang w:val="en-US" w:eastAsia="zh-CN"/>
        </w:rPr>
        <w:t>6.3.2.1。</w:t>
      </w:r>
    </w:p>
    <w:p>
      <w:pPr>
        <w:ind w:firstLine="420" w:firstLineChars="200"/>
      </w:pPr>
      <w:r>
        <w:drawing>
          <wp:inline distT="0" distB="0" distL="114300" distR="114300">
            <wp:extent cx="5273040" cy="1529080"/>
            <wp:effectExtent l="0" t="0" r="3810" b="13970"/>
            <wp:docPr id="5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2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20" w:name="_Toc15364"/>
      <w:r>
        <w:rPr>
          <w:rFonts w:hint="eastAsia" w:eastAsia="微软雅黑"/>
          <w:b/>
          <w:sz w:val="21"/>
          <w:lang w:val="en-US" w:eastAsia="zh-CN"/>
        </w:rPr>
        <w:t>6.3.2.3审核未通过商品管理</w:t>
      </w:r>
      <w:bookmarkEnd w:id="20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在“</w:t>
      </w:r>
      <w:r>
        <w:rPr>
          <w:rFonts w:hint="eastAsia" w:ascii="微软雅黑" w:hAnsi="微软雅黑" w:eastAsia="微软雅黑"/>
          <w:lang w:val="en-US" w:eastAsia="zh-CN"/>
        </w:rPr>
        <w:t>审核未通过商品管理</w:t>
      </w:r>
      <w:r>
        <w:rPr>
          <w:rFonts w:hint="eastAsia" w:ascii="微软雅黑" w:hAnsi="微软雅黑" w:eastAsia="微软雅黑"/>
        </w:rPr>
        <w:t>”页面中，可以查看</w:t>
      </w:r>
      <w:r>
        <w:rPr>
          <w:rFonts w:hint="eastAsia" w:ascii="微软雅黑" w:hAnsi="微软雅黑" w:eastAsia="微软雅黑"/>
          <w:lang w:val="en-US" w:eastAsia="zh-CN"/>
        </w:rPr>
        <w:t>审核通过但未上架的</w:t>
      </w:r>
      <w:r>
        <w:rPr>
          <w:rFonts w:hint="eastAsia" w:ascii="微软雅黑" w:hAnsi="微软雅黑" w:eastAsia="微软雅黑"/>
        </w:rPr>
        <w:t>商品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hint="eastAsia" w:ascii="微软雅黑" w:hAnsi="微软雅黑" w:eastAsia="微软雅黑"/>
          <w:lang w:val="en-US" w:eastAsia="zh-CN"/>
        </w:rPr>
        <w:t>并对未通过的商品进行编辑后提交，待平台管理员审核。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5262880" cy="1712595"/>
            <wp:effectExtent l="0" t="0" r="13970" b="1905"/>
            <wp:docPr id="1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21" w:name="_Toc12885"/>
      <w:r>
        <w:rPr>
          <w:rFonts w:hint="eastAsia" w:eastAsia="微软雅黑"/>
          <w:b/>
          <w:sz w:val="21"/>
          <w:lang w:val="en-US" w:eastAsia="zh-CN"/>
        </w:rPr>
        <w:t>6.3.2.4待审核商品管理</w:t>
      </w:r>
      <w:bookmarkEnd w:id="21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/>
        </w:rPr>
        <w:t>在“</w:t>
      </w:r>
      <w:r>
        <w:rPr>
          <w:rFonts w:hint="eastAsia" w:ascii="微软雅黑" w:hAnsi="微软雅黑" w:eastAsia="微软雅黑"/>
          <w:lang w:val="en-US" w:eastAsia="zh-CN"/>
        </w:rPr>
        <w:t>待审核商品管理</w:t>
      </w:r>
      <w:r>
        <w:rPr>
          <w:rFonts w:hint="eastAsia" w:ascii="微软雅黑" w:hAnsi="微软雅黑" w:eastAsia="微软雅黑"/>
        </w:rPr>
        <w:t>”页面中，</w:t>
      </w:r>
      <w:r>
        <w:rPr>
          <w:rFonts w:hint="eastAsia" w:ascii="微软雅黑" w:hAnsi="微软雅黑" w:eastAsia="微软雅黑"/>
          <w:lang w:val="en-US" w:eastAsia="zh-CN"/>
        </w:rPr>
        <w:t>卖家</w:t>
      </w:r>
      <w:r>
        <w:rPr>
          <w:rFonts w:hint="eastAsia" w:ascii="微软雅黑" w:hAnsi="微软雅黑" w:eastAsia="微软雅黑"/>
        </w:rPr>
        <w:t>可以查看</w:t>
      </w:r>
      <w:r>
        <w:rPr>
          <w:rFonts w:hint="eastAsia" w:ascii="微软雅黑" w:hAnsi="微软雅黑" w:eastAsia="微软雅黑"/>
          <w:lang w:val="en-US" w:eastAsia="zh-CN"/>
        </w:rPr>
        <w:t>未审核的</w:t>
      </w:r>
      <w:r>
        <w:rPr>
          <w:rFonts w:hint="eastAsia" w:ascii="微软雅黑" w:hAnsi="微软雅黑" w:eastAsia="微软雅黑"/>
        </w:rPr>
        <w:t>商品。</w:t>
      </w:r>
      <w:r>
        <w:rPr>
          <w:rFonts w:hint="eastAsia" w:ascii="微软雅黑" w:hAnsi="微软雅黑" w:eastAsia="微软雅黑"/>
          <w:lang w:val="en-US" w:eastAsia="zh-CN"/>
        </w:rPr>
        <w:t>也可</w:t>
      </w:r>
      <w:r>
        <w:rPr>
          <w:rFonts w:hint="eastAsia" w:ascii="微软雅黑" w:hAnsi="微软雅黑" w:eastAsia="微软雅黑" w:cs="微软雅黑"/>
          <w:lang w:val="en-US" w:eastAsia="zh-CN"/>
        </w:rPr>
        <w:t>进行商品添加、删除等操作。商品添加操作流程详见</w:t>
      </w:r>
      <w:r>
        <w:rPr>
          <w:rFonts w:hint="eastAsia"/>
          <w:lang w:val="en-US" w:eastAsia="zh-CN"/>
        </w:rPr>
        <w:t>6.3.2.1。</w:t>
      </w:r>
    </w:p>
    <w:p>
      <w:pPr>
        <w:ind w:firstLine="420" w:firstLineChars="200"/>
      </w:pPr>
      <w:r>
        <w:drawing>
          <wp:inline distT="0" distB="0" distL="114300" distR="114300">
            <wp:extent cx="5353050" cy="1703070"/>
            <wp:effectExtent l="0" t="0" r="0" b="11430"/>
            <wp:docPr id="1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outlineLvl w:val="3"/>
        <w:rPr>
          <w:rFonts w:hint="default" w:eastAsia="微软雅黑"/>
          <w:b/>
          <w:sz w:val="21"/>
          <w:lang w:val="en-US" w:eastAsia="zh-CN"/>
        </w:rPr>
      </w:pPr>
      <w:bookmarkStart w:id="22" w:name="_Toc2918"/>
      <w:r>
        <w:rPr>
          <w:rFonts w:hint="eastAsia" w:eastAsia="微软雅黑"/>
          <w:b/>
          <w:sz w:val="21"/>
          <w:lang w:val="en-US" w:eastAsia="zh-CN"/>
        </w:rPr>
        <w:t>6.3.2.5违规商品管理</w:t>
      </w:r>
      <w:bookmarkEnd w:id="22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</w:rPr>
        <w:t>在“</w:t>
      </w:r>
      <w:r>
        <w:rPr>
          <w:rFonts w:hint="eastAsia" w:ascii="微软雅黑" w:hAnsi="微软雅黑" w:eastAsia="微软雅黑"/>
          <w:lang w:val="en-US" w:eastAsia="zh-CN"/>
        </w:rPr>
        <w:t>违规商品管理</w:t>
      </w:r>
      <w:r>
        <w:rPr>
          <w:rFonts w:hint="eastAsia" w:ascii="微软雅黑" w:hAnsi="微软雅黑" w:eastAsia="微软雅黑"/>
        </w:rPr>
        <w:t>”页面中，可以查看</w:t>
      </w:r>
      <w:r>
        <w:rPr>
          <w:rFonts w:hint="eastAsia" w:ascii="微软雅黑" w:hAnsi="微软雅黑" w:eastAsia="微软雅黑"/>
          <w:lang w:val="en-US" w:eastAsia="zh-CN"/>
        </w:rPr>
        <w:t>违规的</w:t>
      </w:r>
      <w:r>
        <w:rPr>
          <w:rFonts w:hint="eastAsia" w:ascii="微软雅黑" w:hAnsi="微软雅黑" w:eastAsia="微软雅黑"/>
        </w:rPr>
        <w:t>商品</w:t>
      </w:r>
      <w:r>
        <w:rPr>
          <w:rFonts w:hint="eastAsia" w:ascii="微软雅黑" w:hAnsi="微软雅黑" w:eastAsia="微软雅黑"/>
          <w:lang w:eastAsia="zh-CN"/>
        </w:rPr>
        <w:t>，</w:t>
      </w:r>
      <w:r>
        <w:rPr>
          <w:rFonts w:hint="eastAsia" w:ascii="微软雅黑" w:hAnsi="微软雅黑" w:eastAsia="微软雅黑"/>
          <w:lang w:val="en-US" w:eastAsia="zh-CN"/>
        </w:rPr>
        <w:t>并对违规的商品进行编辑后提交，待平台管理员审核。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5269865" cy="1710055"/>
            <wp:effectExtent l="0" t="0" r="6985" b="4445"/>
            <wp:docPr id="1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1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23" w:name="_Toc23633"/>
      <w:r>
        <w:rPr>
          <w:rFonts w:hint="eastAsia" w:eastAsia="微软雅黑"/>
          <w:b/>
          <w:sz w:val="21"/>
          <w:lang w:val="en-US" w:eastAsia="zh-CN"/>
        </w:rPr>
        <w:t>6.3.2.6商品商家属性</w:t>
      </w:r>
      <w:bookmarkEnd w:id="23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商品商家属性即商品规格。商品属性名称由平台设定，属性值由商家自行设定。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例如：属性名称：瓦数，这个属性有平台设定。属性值：18w,17w,这个由商家自行设定。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温馨提示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lang w:val="en-US" w:eastAsia="zh-CN"/>
        </w:rPr>
        <w:t>若选择的类目没有属性，可联系平台客服添加。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添加方式如下：“商城管理”—“商品管理”—“商品商家属性”—逐级选择分类—找到对应的属性名称点击“</w:t>
      </w:r>
      <w:r>
        <w:drawing>
          <wp:inline distT="0" distB="0" distL="114300" distR="114300">
            <wp:extent cx="438150" cy="171450"/>
            <wp:effectExtent l="0" t="0" r="0" b="0"/>
            <wp:docPr id="14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”—点击“</w:t>
      </w:r>
      <w:r>
        <w:drawing>
          <wp:inline distT="0" distB="0" distL="114300" distR="114300">
            <wp:extent cx="685800" cy="228600"/>
            <wp:effectExtent l="0" t="0" r="0" b="0"/>
            <wp:docPr id="14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”—添加完点击“</w:t>
      </w:r>
      <w:r>
        <w:drawing>
          <wp:inline distT="0" distB="0" distL="114300" distR="114300">
            <wp:extent cx="400050" cy="228600"/>
            <wp:effectExtent l="0" t="0" r="0" b="0"/>
            <wp:docPr id="14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”</w:t>
      </w:r>
      <w:r>
        <w:rPr>
          <w:rFonts w:hint="eastAsia" w:ascii="微软雅黑" w:hAnsi="微软雅黑" w:eastAsia="微软雅黑"/>
          <w:lang w:val="en-US" w:eastAsia="zh-CN"/>
        </w:rPr>
        <w:t>即可。如下图所示：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</w:p>
    <w:p>
      <w:pPr>
        <w:ind w:firstLine="420" w:firstLineChars="200"/>
      </w:pPr>
      <w:r>
        <w:drawing>
          <wp:inline distT="0" distB="0" distL="114300" distR="114300">
            <wp:extent cx="5641975" cy="2576830"/>
            <wp:effectExtent l="0" t="0" r="15875" b="13970"/>
            <wp:docPr id="1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宋体"/>
          <w:color w:val="FF0000"/>
          <w:kern w:val="0"/>
          <w:szCs w:val="21"/>
        </w:rPr>
        <w:t>温馨提示</w:t>
      </w:r>
      <w:r>
        <w:rPr>
          <w:rFonts w:hint="eastAsia" w:ascii="微软雅黑" w:hAnsi="微软雅黑" w:eastAsia="微软雅黑" w:cs="宋体"/>
          <w:color w:val="FF0000"/>
          <w:kern w:val="0"/>
          <w:szCs w:val="21"/>
          <w:lang w:eastAsia="zh-CN"/>
        </w:rPr>
        <w:t>：</w:t>
      </w:r>
      <w:r>
        <w:rPr>
          <w:rFonts w:hint="eastAsia" w:ascii="微软雅黑" w:hAnsi="微软雅黑" w:eastAsia="微软雅黑"/>
          <w:lang w:val="en-US" w:eastAsia="zh-CN"/>
        </w:rPr>
        <w:t>一个属性名称最多添加8个属性值。</w:t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24" w:name="_Toc25769"/>
      <w:r>
        <w:rPr>
          <w:rFonts w:hint="eastAsia" w:eastAsia="微软雅黑"/>
          <w:b/>
          <w:sz w:val="21"/>
          <w:lang w:val="en-US" w:eastAsia="zh-CN"/>
        </w:rPr>
        <w:t>6.3.2.7品牌管理</w:t>
      </w:r>
      <w:bookmarkEnd w:id="24"/>
    </w:p>
    <w:p>
      <w:pPr>
        <w:spacing w:after="200" w:line="276" w:lineRule="auto"/>
        <w:ind w:firstLine="420" w:firstLineChars="200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在“品牌</w:t>
      </w:r>
      <w:r>
        <w:rPr>
          <w:rFonts w:hint="eastAsia" w:ascii="微软雅黑" w:hAnsi="微软雅黑" w:eastAsia="微软雅黑"/>
          <w:lang w:val="en-US" w:eastAsia="zh-CN"/>
        </w:rPr>
        <w:t>管理</w:t>
      </w:r>
      <w:r>
        <w:rPr>
          <w:rFonts w:hint="eastAsia" w:ascii="微软雅黑" w:hAnsi="微软雅黑" w:eastAsia="微软雅黑"/>
        </w:rPr>
        <w:t>”页面</w:t>
      </w:r>
      <w:r>
        <w:rPr>
          <w:rFonts w:hint="eastAsia" w:ascii="微软雅黑" w:hAnsi="微软雅黑" w:eastAsia="微软雅黑"/>
          <w:lang w:val="en-US" w:eastAsia="zh-CN"/>
        </w:rPr>
        <w:t>中</w:t>
      </w:r>
      <w:r>
        <w:rPr>
          <w:rFonts w:hint="eastAsia" w:ascii="微软雅黑" w:hAnsi="微软雅黑" w:eastAsia="微软雅黑"/>
        </w:rPr>
        <w:t>，</w:t>
      </w:r>
      <w:r>
        <w:rPr>
          <w:rFonts w:hint="eastAsia" w:ascii="微软雅黑" w:hAnsi="微软雅黑" w:eastAsia="微软雅黑"/>
          <w:lang w:val="en-US" w:eastAsia="zh-CN"/>
        </w:rPr>
        <w:t>商家</w:t>
      </w:r>
      <w:r>
        <w:rPr>
          <w:rFonts w:ascii="微软雅黑" w:hAnsi="微软雅黑" w:eastAsia="微软雅黑"/>
        </w:rPr>
        <w:t>可以向平台申请自主品牌。</w:t>
      </w:r>
    </w:p>
    <w:p>
      <w:pPr>
        <w:spacing w:after="200" w:line="276" w:lineRule="auto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申请方式如下</w:t>
      </w:r>
      <w:r>
        <w:rPr>
          <w:rFonts w:ascii="微软雅黑" w:hAnsi="微软雅黑" w:eastAsia="微软雅黑"/>
        </w:rPr>
        <w:t>：</w:t>
      </w:r>
      <w:r>
        <w:rPr>
          <w:rFonts w:hint="eastAsia" w:ascii="微软雅黑" w:hAnsi="微软雅黑" w:eastAsia="微软雅黑"/>
          <w:lang w:val="en-US" w:eastAsia="zh-CN"/>
        </w:rPr>
        <w:t>“商城管理”—“商品管理”—“品牌管理”—点击“</w:t>
      </w:r>
      <w:r>
        <w:drawing>
          <wp:inline distT="0" distB="0" distL="114300" distR="114300">
            <wp:extent cx="485775" cy="247650"/>
            <wp:effectExtent l="0" t="0" r="9525" b="0"/>
            <wp:docPr id="14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”—</w:t>
      </w:r>
      <w:r>
        <w:rPr>
          <w:rFonts w:hint="default" w:ascii="微软雅黑" w:hAnsi="微软雅黑" w:eastAsia="微软雅黑"/>
          <w:lang w:val="en-US" w:eastAsia="zh-CN"/>
        </w:rPr>
        <w:t>”</w:t>
      </w:r>
      <w:r>
        <w:rPr>
          <w:rFonts w:hint="eastAsia" w:ascii="微软雅黑" w:hAnsi="微软雅黑" w:eastAsia="微软雅黑"/>
          <w:lang w:val="en-US" w:eastAsia="zh-CN"/>
        </w:rPr>
        <w:t>填写品牌相关信息</w:t>
      </w:r>
      <w:r>
        <w:rPr>
          <w:rFonts w:hint="default" w:ascii="微软雅黑" w:hAnsi="微软雅黑" w:eastAsia="微软雅黑"/>
          <w:lang w:val="en-US" w:eastAsia="zh-CN"/>
        </w:rPr>
        <w:t>”</w:t>
      </w:r>
      <w:r>
        <w:rPr>
          <w:rFonts w:hint="eastAsia" w:ascii="微软雅黑" w:hAnsi="微软雅黑" w:eastAsia="微软雅黑"/>
          <w:lang w:val="en-US" w:eastAsia="zh-CN"/>
        </w:rPr>
        <w:t>—点击“确定”即可申请。待平台管理员审核通过后，卖家在添加商品时即可选择对应的品牌。如图1、图2所示：</w:t>
      </w:r>
    </w:p>
    <w:p>
      <w:pPr>
        <w:spacing w:after="200" w:line="276" w:lineRule="auto"/>
        <w:ind w:firstLine="420" w:firstLineChars="200"/>
      </w:pPr>
      <w:r>
        <w:drawing>
          <wp:inline distT="0" distB="0" distL="114300" distR="114300">
            <wp:extent cx="5267960" cy="1792605"/>
            <wp:effectExtent l="0" t="0" r="8890" b="17145"/>
            <wp:docPr id="15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9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firstLine="420" w:firstLineChars="200"/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spacing w:after="200" w:line="276" w:lineRule="auto"/>
        <w:ind w:firstLine="420" w:firstLineChars="200"/>
        <w:rPr>
          <w:rFonts w:hint="eastAsia"/>
          <w:lang w:val="en-US" w:eastAsia="zh-CN"/>
        </w:rPr>
      </w:pPr>
    </w:p>
    <w:p>
      <w:pPr>
        <w:spacing w:after="200" w:line="276" w:lineRule="auto"/>
        <w:ind w:firstLine="420" w:firstLineChars="200"/>
        <w:jc w:val="center"/>
      </w:pPr>
      <w:r>
        <w:drawing>
          <wp:inline distT="0" distB="0" distL="114300" distR="114300">
            <wp:extent cx="4585970" cy="3039745"/>
            <wp:effectExtent l="0" t="0" r="5080" b="8255"/>
            <wp:docPr id="15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585970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pStyle w:val="4"/>
        <w:rPr>
          <w:rFonts w:hint="eastAsia"/>
          <w:sz w:val="24"/>
          <w:szCs w:val="24"/>
          <w:lang w:val="en-US" w:eastAsia="zh-CN"/>
        </w:rPr>
      </w:pPr>
      <w:bookmarkStart w:id="25" w:name="_Toc27654"/>
      <w:r>
        <w:rPr>
          <w:rFonts w:hint="eastAsia"/>
          <w:sz w:val="24"/>
          <w:szCs w:val="24"/>
          <w:lang w:val="en-US" w:eastAsia="zh-CN"/>
        </w:rPr>
        <w:t>6.3.3促销推广</w:t>
      </w:r>
      <w:bookmarkEnd w:id="25"/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26" w:name="_Toc32687"/>
      <w:r>
        <w:rPr>
          <w:rFonts w:hint="eastAsia" w:eastAsia="微软雅黑"/>
          <w:b/>
          <w:sz w:val="21"/>
          <w:lang w:val="en-US" w:eastAsia="zh-CN"/>
        </w:rPr>
        <w:t>6.3.3.1特惠商品</w:t>
      </w:r>
      <w:bookmarkEnd w:id="26"/>
    </w:p>
    <w:p>
      <w:pPr>
        <w:spacing w:after="200" w:line="276" w:lineRule="auto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卖家可将店铺中商品添加为特惠商品，添加成功后，</w:t>
      </w:r>
      <w:r>
        <w:rPr>
          <w:rFonts w:hint="default" w:ascii="微软雅黑" w:hAnsi="微软雅黑" w:eastAsia="微软雅黑"/>
          <w:lang w:val="en-US" w:eastAsia="zh-CN"/>
        </w:rPr>
        <w:t>即可在平台首页特惠推荐专区中显示</w:t>
      </w:r>
      <w:r>
        <w:rPr>
          <w:rFonts w:hint="eastAsia" w:ascii="微软雅黑" w:hAnsi="微软雅黑" w:eastAsia="微软雅黑"/>
          <w:lang w:val="en-US" w:eastAsia="zh-CN"/>
        </w:rPr>
        <w:t>。展示效果如下：</w:t>
      </w:r>
    </w:p>
    <w:p>
      <w:pPr>
        <w:spacing w:after="200" w:line="276" w:lineRule="auto"/>
        <w:ind w:firstLine="420" w:firstLineChars="200"/>
      </w:pPr>
      <w:r>
        <w:drawing>
          <wp:inline distT="0" distB="0" distL="114300" distR="114300">
            <wp:extent cx="4965700" cy="2408555"/>
            <wp:effectExtent l="0" t="0" r="6350" b="10795"/>
            <wp:docPr id="1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200" w:line="276" w:lineRule="auto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添加方式如下：“商城管理”—</w:t>
      </w:r>
      <w:r>
        <w:rPr>
          <w:rFonts w:hint="default" w:ascii="微软雅黑" w:hAnsi="微软雅黑" w:eastAsia="微软雅黑"/>
          <w:lang w:val="en-US" w:eastAsia="zh-CN"/>
        </w:rPr>
        <w:t>“促销推广”—“特惠推广”，然后点击“</w:t>
      </w:r>
      <w:r>
        <w:drawing>
          <wp:inline distT="0" distB="0" distL="114300" distR="114300">
            <wp:extent cx="533400" cy="209550"/>
            <wp:effectExtent l="0" t="0" r="0" b="0"/>
            <wp:docPr id="15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lang w:val="en-US" w:eastAsia="zh-CN"/>
        </w:rPr>
        <w:t>”，选择要设置的特惠的商品，填写特惠价格与特惠备忘，点击“</w:t>
      </w:r>
      <w:r>
        <w:drawing>
          <wp:inline distT="0" distB="0" distL="114300" distR="114300">
            <wp:extent cx="390525" cy="200025"/>
            <wp:effectExtent l="0" t="0" r="9525" b="9525"/>
            <wp:docPr id="15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lang w:val="en-US" w:eastAsia="zh-CN"/>
        </w:rPr>
        <w:t>”即可提交</w:t>
      </w:r>
      <w:r>
        <w:rPr>
          <w:rFonts w:hint="eastAsia" w:ascii="微软雅黑" w:hAnsi="微软雅黑" w:eastAsia="微软雅黑"/>
          <w:lang w:val="en-US" w:eastAsia="zh-CN"/>
        </w:rPr>
        <w:t>。</w:t>
      </w:r>
      <w:r>
        <w:rPr>
          <w:rFonts w:hint="default" w:ascii="微软雅黑" w:hAnsi="微软雅黑" w:eastAsia="微软雅黑"/>
          <w:lang w:val="en-US" w:eastAsia="zh-CN"/>
        </w:rPr>
        <w:t>如下图所示：</w:t>
      </w:r>
    </w:p>
    <w:p>
      <w:pPr>
        <w:spacing w:after="200" w:line="276" w:lineRule="auto"/>
        <w:ind w:firstLine="420" w:firstLineChars="200"/>
      </w:pPr>
      <w:r>
        <w:drawing>
          <wp:inline distT="0" distB="0" distL="114300" distR="114300">
            <wp:extent cx="4548505" cy="1937385"/>
            <wp:effectExtent l="0" t="0" r="4445" b="5715"/>
            <wp:docPr id="15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sz w:val="24"/>
          <w:szCs w:val="24"/>
          <w:lang w:val="en-US" w:eastAsia="zh-CN"/>
        </w:rPr>
      </w:pPr>
      <w:bookmarkStart w:id="27" w:name="_Toc26282"/>
      <w:r>
        <w:rPr>
          <w:rFonts w:hint="eastAsia"/>
          <w:sz w:val="24"/>
          <w:szCs w:val="24"/>
          <w:lang w:val="en-US" w:eastAsia="zh-CN"/>
        </w:rPr>
        <w:t>6.3.4订单交易</w:t>
      </w:r>
      <w:bookmarkEnd w:id="27"/>
    </w:p>
    <w:p>
      <w:pPr>
        <w:spacing w:after="200" w:line="276" w:lineRule="auto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卖家中心的订单分为合同订单及非合同订单，此模块为非合同订单。在订单交易模块下，卖家可对订单进行管理、查看和回复评价等。</w:t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28" w:name="_Toc11847"/>
      <w:r>
        <w:rPr>
          <w:rFonts w:hint="eastAsia" w:eastAsia="微软雅黑"/>
          <w:b/>
          <w:sz w:val="21"/>
          <w:lang w:val="en-US" w:eastAsia="zh-CN"/>
        </w:rPr>
        <w:t>6.3.4.1建材订单</w:t>
      </w:r>
      <w:bookmarkEnd w:id="28"/>
    </w:p>
    <w:p>
      <w:pPr>
        <w:spacing w:after="200" w:line="276" w:lineRule="auto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无合同订单交易流程如下。卖家可在建材订单页面对订单进行查看、设置发货。</w:t>
      </w:r>
    </w:p>
    <w:p>
      <w:pPr>
        <w:spacing w:after="200" w:line="276" w:lineRule="auto"/>
        <w:ind w:firstLine="420" w:firstLineChars="200"/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864225" cy="248920"/>
            <wp:effectExtent l="0" t="0" r="3175" b="17780"/>
            <wp:docPr id="15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3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24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"/>
        </w:numPr>
        <w:spacing w:after="200" w:line="276" w:lineRule="auto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发货</w:t>
      </w:r>
    </w:p>
    <w:p>
      <w:pPr>
        <w:numPr>
          <w:ilvl w:val="0"/>
          <w:numId w:val="11"/>
        </w:numPr>
        <w:spacing w:after="200" w:line="276" w:lineRule="auto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在建材订单页面点击</w:t>
      </w:r>
      <w:r>
        <w:rPr>
          <w:rFonts w:hint="default" w:ascii="微软雅黑" w:hAnsi="微软雅黑" w:eastAsia="微软雅黑"/>
          <w:lang w:val="en-US" w:eastAsia="zh-CN"/>
        </w:rPr>
        <w:t>”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476250" cy="200025"/>
            <wp:effectExtent l="0" t="0" r="0" b="9525"/>
            <wp:docPr id="15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4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lang w:val="en-US" w:eastAsia="zh-CN"/>
        </w:rPr>
        <w:t>”</w:t>
      </w:r>
      <w:r>
        <w:rPr>
          <w:rFonts w:hint="eastAsia" w:ascii="微软雅黑" w:hAnsi="微软雅黑" w:eastAsia="微软雅黑"/>
          <w:lang w:val="en-US" w:eastAsia="zh-CN"/>
        </w:rPr>
        <w:t>。</w:t>
      </w:r>
    </w:p>
    <w:p>
      <w:pPr>
        <w:spacing w:after="200" w:line="276" w:lineRule="auto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403850" cy="1486535"/>
            <wp:effectExtent l="0" t="0" r="6350" b="18415"/>
            <wp:docPr id="15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03850" cy="1486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after="200" w:line="276" w:lineRule="auto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添加发货信息。</w:t>
      </w:r>
    </w:p>
    <w:p>
      <w:pPr>
        <w:numPr>
          <w:ilvl w:val="0"/>
          <w:numId w:val="0"/>
        </w:numPr>
        <w:spacing w:after="200" w:line="276" w:lineRule="auto"/>
        <w:jc w:val="center"/>
        <w:rPr>
          <w:rFonts w:hint="eastAsia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4457065" cy="2336800"/>
            <wp:effectExtent l="0" t="0" r="635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1"/>
        </w:numPr>
        <w:spacing w:after="200" w:line="276" w:lineRule="auto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809625" cy="266700"/>
            <wp:effectExtent l="0" t="0" r="9525" b="0"/>
            <wp:docPr id="159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2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”，即可完成发货设置。</w:t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29" w:name="_Toc31348"/>
      <w:r>
        <w:rPr>
          <w:rFonts w:hint="eastAsia" w:eastAsia="微软雅黑"/>
          <w:b/>
          <w:sz w:val="21"/>
          <w:lang w:val="en-US" w:eastAsia="zh-CN"/>
        </w:rPr>
        <w:t>6.3.4.2评价晒单</w:t>
      </w:r>
      <w:bookmarkEnd w:id="29"/>
    </w:p>
    <w:p>
      <w:pPr>
        <w:spacing w:after="200" w:line="276" w:lineRule="auto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卖家可在“评价晒单”页面对商品的评价进行回复。</w:t>
      </w:r>
    </w:p>
    <w:p>
      <w:pPr>
        <w:spacing w:after="200" w:line="276" w:lineRule="auto"/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操作方式如下：“商城管理”—“订单交易”—“评价晒单”—点击“</w:t>
      </w:r>
      <w:r>
        <w:drawing>
          <wp:inline distT="0" distB="0" distL="114300" distR="114300">
            <wp:extent cx="676275" cy="180975"/>
            <wp:effectExtent l="0" t="0" r="9525" b="9525"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”—填写回复内容—点击“</w:t>
      </w:r>
      <w:r>
        <w:drawing>
          <wp:inline distT="0" distB="0" distL="114300" distR="114300">
            <wp:extent cx="342900" cy="209550"/>
            <wp:effectExtent l="0" t="0" r="0" b="0"/>
            <wp:docPr id="161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2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”。如下图：</w:t>
      </w:r>
    </w:p>
    <w:p>
      <w:pPr>
        <w:spacing w:after="200" w:line="276" w:lineRule="auto"/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5469255" cy="2499995"/>
            <wp:effectExtent l="0" t="0" r="17145" b="14605"/>
            <wp:docPr id="16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sz w:val="24"/>
          <w:szCs w:val="24"/>
          <w:lang w:val="en-US" w:eastAsia="zh-CN"/>
        </w:rPr>
      </w:pPr>
      <w:bookmarkStart w:id="30" w:name="_Toc8910"/>
      <w:r>
        <w:rPr>
          <w:rFonts w:hint="eastAsia"/>
          <w:sz w:val="24"/>
          <w:szCs w:val="24"/>
          <w:lang w:val="en-US" w:eastAsia="zh-CN"/>
        </w:rPr>
        <w:t>6.3.5合同交易</w:t>
      </w:r>
      <w:bookmarkEnd w:id="30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合同交易模块下有：合同签订列表、合同交易列表、合同叫货单、合同发货单等子模块。</w:t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31" w:name="_Toc24907"/>
      <w:r>
        <w:rPr>
          <w:rFonts w:hint="eastAsia" w:eastAsia="微软雅黑"/>
          <w:b/>
          <w:sz w:val="21"/>
          <w:lang w:val="en-US" w:eastAsia="zh-CN"/>
        </w:rPr>
        <w:t>6.3.5.1合同签订列表</w:t>
      </w:r>
      <w:bookmarkEnd w:id="31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在合同签订列表页面，卖家可以发起合同签署。合同签署流程如下：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3019425" cy="428625"/>
            <wp:effectExtent l="0" t="0" r="9525" b="9525"/>
            <wp:docPr id="16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8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开通合同服务功能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在合同签订列表页面勾选“已阅读并同意”然后点击“</w:t>
      </w:r>
      <w:r>
        <w:drawing>
          <wp:inline distT="0" distB="0" distL="114300" distR="114300">
            <wp:extent cx="561975" cy="161925"/>
            <wp:effectExtent l="0" t="0" r="9525" b="9525"/>
            <wp:docPr id="16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30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”。开通合同服务功能后即可进入合同签订列表，如下图所示：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5067300" cy="3457575"/>
            <wp:effectExtent l="0" t="0" r="0" b="9525"/>
            <wp:docPr id="16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发起合同签署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在合同签订列表页面点击“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762000" cy="209550"/>
            <wp:effectExtent l="0" t="0" r="0" b="0"/>
            <wp:docPr id="16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31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”，上传合同附件。</w:t>
      </w:r>
    </w:p>
    <w:p>
      <w:pPr>
        <w:numPr>
          <w:ilvl w:val="0"/>
          <w:numId w:val="12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上传合同附件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485775" cy="257175"/>
            <wp:effectExtent l="0" t="0" r="9525" b="9525"/>
            <wp:docPr id="16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2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”即可上传合同附件。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添加签署公司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a、点击“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352425" cy="200025"/>
            <wp:effectExtent l="0" t="0" r="9525" b="9525"/>
            <wp:docPr id="16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3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”可对我方公司信息进行修改。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b、点击“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647700" cy="266700"/>
            <wp:effectExtent l="0" t="0" r="0" b="0"/>
            <wp:docPr id="16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34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”可添加对方公司信息。如下图所示：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3794125" cy="2970530"/>
            <wp:effectExtent l="0" t="0" r="15875" b="1270"/>
            <wp:docPr id="17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35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7941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2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若对合同有备注信息，可在“留言”栏目中填写。点击“</w:t>
      </w:r>
      <w:r>
        <w:drawing>
          <wp:inline distT="0" distB="0" distL="114300" distR="114300">
            <wp:extent cx="1123950" cy="323850"/>
            <wp:effectExtent l="0" t="0" r="0" b="0"/>
            <wp:docPr id="17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36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”即可提交合同。</w:t>
      </w:r>
    </w:p>
    <w:p>
      <w:pPr>
        <w:numPr>
          <w:ilvl w:val="0"/>
          <w:numId w:val="12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合同提交后待买家签署后，则合同签署完成。</w:t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32" w:name="_Toc9380"/>
      <w:r>
        <w:rPr>
          <w:rFonts w:hint="eastAsia" w:eastAsia="微软雅黑"/>
          <w:b/>
          <w:sz w:val="21"/>
          <w:lang w:val="en-US" w:eastAsia="zh-CN"/>
        </w:rPr>
        <w:t>6.3.5.2合同交易列表</w:t>
      </w:r>
      <w:bookmarkEnd w:id="32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在合同交易列表，卖家可查看合同内容、对合同授信、添加调整单，生成对账单、查看对账单、启用/停用合同。</w:t>
      </w:r>
    </w:p>
    <w:p>
      <w:pPr>
        <w:numPr>
          <w:ilvl w:val="0"/>
          <w:numId w:val="13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编辑合同。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333375" cy="161925"/>
            <wp:effectExtent l="0" t="0" r="9525" b="9525"/>
            <wp:docPr id="17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37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”对合同进行编辑，设置授信额度、添加合同商品等。操作如下：</w:t>
      </w:r>
    </w:p>
    <w:p>
      <w:pPr>
        <w:numPr>
          <w:ilvl w:val="0"/>
          <w:numId w:val="14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核对签署公司信息。点击“</w:t>
      </w:r>
      <w:r>
        <w:drawing>
          <wp:inline distT="0" distB="0" distL="114300" distR="114300">
            <wp:extent cx="352425" cy="200025"/>
            <wp:effectExtent l="0" t="0" r="9525" b="9525"/>
            <wp:docPr id="176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3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”可进行修改。</w:t>
      </w:r>
    </w:p>
    <w:p>
      <w:pPr>
        <w:numPr>
          <w:ilvl w:val="0"/>
          <w:numId w:val="0"/>
        </w:numPr>
        <w:jc w:val="center"/>
      </w:pPr>
    </w:p>
    <w:p>
      <w:pPr>
        <w:ind w:firstLine="420" w:firstLineChars="200"/>
        <w:jc w:val="center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69230" cy="1632585"/>
            <wp:effectExtent l="0" t="0" r="7620" b="5715"/>
            <wp:docPr id="17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39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合同交易设置。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设置合同签署总金额、合同签署总数量、合同生效时间、供货期限终止日期。</w:t>
      </w:r>
    </w:p>
    <w:p>
      <w:pPr>
        <w:ind w:firstLine="420" w:firstLineChars="200"/>
        <w:jc w:val="center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65420" cy="1014095"/>
            <wp:effectExtent l="0" t="0" r="11430" b="14605"/>
            <wp:docPr id="177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40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1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合同结算设置。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设置合同赊销可用额度、授信额度预警、合同赊销天数、合同提前预警、赊销可超期。</w:t>
      </w:r>
    </w:p>
    <w:p>
      <w:pPr>
        <w:ind w:firstLine="420" w:firstLineChars="200"/>
        <w:jc w:val="center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70500" cy="1002665"/>
            <wp:effectExtent l="0" t="0" r="6350" b="6985"/>
            <wp:docPr id="17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42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4"/>
      </w:pPr>
      <w:r>
        <w:t>窗体顶端</w:t>
      </w:r>
    </w:p>
    <w:p>
      <w:pPr>
        <w:numPr>
          <w:ilvl w:val="0"/>
          <w:numId w:val="14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买家收货地址管理。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68595" cy="1101090"/>
            <wp:effectExtent l="0" t="0" r="8255" b="3810"/>
            <wp:docPr id="180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43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4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合同商品管理。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</w:rPr>
        <w:sym w:font="Wingdings" w:char="F081"/>
      </w:r>
      <w:r>
        <w:rPr>
          <w:rFonts w:hint="eastAsia" w:ascii="微软雅黑" w:hAnsi="微软雅黑" w:eastAsia="微软雅黑"/>
          <w:lang w:val="en-US" w:eastAsia="zh-CN"/>
        </w:rPr>
        <w:t>点击</w:t>
      </w:r>
      <w:r>
        <w:rPr>
          <w:rFonts w:hint="default" w:ascii="微软雅黑" w:hAnsi="微软雅黑" w:eastAsia="微软雅黑"/>
          <w:lang w:val="en-US" w:eastAsia="zh-CN"/>
        </w:rPr>
        <w:t>”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657225" cy="266700"/>
            <wp:effectExtent l="0" t="0" r="9525" b="0"/>
            <wp:docPr id="181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44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lang w:val="en-US" w:eastAsia="zh-CN"/>
        </w:rPr>
        <w:t>”</w:t>
      </w:r>
      <w:r>
        <w:rPr>
          <w:rFonts w:hint="eastAsia" w:ascii="微软雅黑" w:hAnsi="微软雅黑" w:eastAsia="微软雅黑"/>
          <w:lang w:val="en-US" w:eastAsia="zh-CN"/>
        </w:rPr>
        <w:t>勾选需要加入合同的商品，点击”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71500" cy="228600"/>
            <wp:effectExtent l="0" t="0" r="0" b="0"/>
            <wp:docPr id="183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46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“。如下图：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71135" cy="2166620"/>
            <wp:effectExtent l="0" t="0" r="5715" b="5080"/>
            <wp:docPr id="182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4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</w:rPr>
        <w:sym w:font="Wingdings" w:char="F082"/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设置合同价、合同价开始时间、商品数量。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70500" cy="2016125"/>
            <wp:effectExtent l="0" t="0" r="6350" b="3175"/>
            <wp:docPr id="184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47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1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/>
        </w:rPr>
        <w:sym w:font="Wingdings" w:char="F083"/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点击“</w:t>
      </w:r>
      <w:r>
        <w:drawing>
          <wp:inline distT="0" distB="0" distL="114300" distR="114300">
            <wp:extent cx="800100" cy="295275"/>
            <wp:effectExtent l="0" t="0" r="0" b="9525"/>
            <wp:docPr id="188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51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”可完成对合同的设置。</w:t>
      </w:r>
    </w:p>
    <w:p>
      <w:pPr>
        <w:numPr>
          <w:ilvl w:val="0"/>
          <w:numId w:val="0"/>
        </w:numPr>
      </w:pPr>
    </w:p>
    <w:p>
      <w:pPr>
        <w:ind w:firstLine="420" w:firstLineChars="200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点击“</w:t>
      </w:r>
      <w:r>
        <w:rPr>
          <w:rFonts w:hint="eastAsia" w:ascii="微软雅黑" w:hAnsi="微软雅黑" w:eastAsia="微软雅黑" w:cs="宋体"/>
          <w:kern w:val="0"/>
          <w:szCs w:val="21"/>
        </w:rPr>
        <w:drawing>
          <wp:inline distT="0" distB="0" distL="114300" distR="114300">
            <wp:extent cx="714375" cy="304800"/>
            <wp:effectExtent l="0" t="0" r="9525" b="0"/>
            <wp:docPr id="185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4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”：可批量设置合同商品价格；</w:t>
      </w:r>
    </w:p>
    <w:p>
      <w:pPr>
        <w:ind w:firstLine="420" w:firstLineChars="200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点击“</w:t>
      </w:r>
      <w:r>
        <w:rPr>
          <w:rFonts w:hint="eastAsia" w:ascii="微软雅黑" w:hAnsi="微软雅黑" w:eastAsia="微软雅黑" w:cs="宋体"/>
          <w:kern w:val="0"/>
          <w:szCs w:val="21"/>
        </w:rPr>
        <w:drawing>
          <wp:inline distT="0" distB="0" distL="114300" distR="114300">
            <wp:extent cx="695325" cy="323850"/>
            <wp:effectExtent l="0" t="0" r="9525" b="0"/>
            <wp:docPr id="186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49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”：可批量设置合同价开始时间；</w:t>
      </w:r>
    </w:p>
    <w:p>
      <w:pPr>
        <w:ind w:firstLine="420" w:firstLineChars="200"/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</w:pP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点击“</w:t>
      </w:r>
      <w:r>
        <w:rPr>
          <w:rFonts w:hint="eastAsia" w:ascii="微软雅黑" w:hAnsi="微软雅黑" w:eastAsia="微软雅黑" w:cs="宋体"/>
          <w:kern w:val="0"/>
          <w:szCs w:val="21"/>
        </w:rPr>
        <w:drawing>
          <wp:inline distT="0" distB="0" distL="114300" distR="114300">
            <wp:extent cx="485775" cy="276225"/>
            <wp:effectExtent l="0" t="0" r="9525" b="9525"/>
            <wp:docPr id="187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50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宋体"/>
          <w:kern w:val="0"/>
          <w:szCs w:val="21"/>
          <w:lang w:val="en-US" w:eastAsia="zh-CN"/>
        </w:rPr>
        <w:t>”：可批量删除合同商品。</w:t>
      </w:r>
    </w:p>
    <w:p>
      <w:pPr>
        <w:numPr>
          <w:ilvl w:val="0"/>
          <w:numId w:val="13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启用合同。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333375" cy="123825"/>
            <wp:effectExtent l="0" t="0" r="9525" b="9525"/>
            <wp:docPr id="19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52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”，合同启用后买家方可通过合同下单。</w:t>
      </w:r>
    </w:p>
    <w:p>
      <w:pPr>
        <w:numPr>
          <w:ilvl w:val="0"/>
          <w:numId w:val="13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添加调整单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714375" cy="161925"/>
            <wp:effectExtent l="0" t="0" r="9525" b="9525"/>
            <wp:docPr id="19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图片 53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”，可对合同生效时间、调整单订单调整范围、进行设置。其他合同信息若有修改，也可在此修改。</w:t>
      </w:r>
    </w:p>
    <w:p>
      <w:pPr>
        <w:ind w:firstLine="420" w:firstLineChars="200"/>
      </w:pPr>
      <w:r>
        <w:drawing>
          <wp:inline distT="0" distB="0" distL="114300" distR="114300">
            <wp:extent cx="5266690" cy="873760"/>
            <wp:effectExtent l="0" t="0" r="10160" b="2540"/>
            <wp:docPr id="19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图片 54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3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对账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381000" cy="133350"/>
            <wp:effectExtent l="0" t="0" r="0" b="0"/>
            <wp:docPr id="19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55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”可生成对账单。选择入账起始时间、截止时间。点击“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1190625" cy="333375"/>
            <wp:effectExtent l="0" t="0" r="9525" b="9525"/>
            <wp:docPr id="19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57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72405" cy="1478280"/>
            <wp:effectExtent l="0" t="0" r="4445" b="7620"/>
            <wp:docPr id="19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图片 5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33" w:name="_Toc11738"/>
      <w:r>
        <w:rPr>
          <w:rFonts w:hint="eastAsia" w:eastAsia="微软雅黑"/>
          <w:b/>
          <w:sz w:val="21"/>
          <w:lang w:val="en-US" w:eastAsia="zh-CN"/>
        </w:rPr>
        <w:t>6.3.5.3合同叫货单</w:t>
      </w:r>
      <w:bookmarkEnd w:id="33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当买家通过合同下单后，卖家可在“合同叫货单”页面设置发货。</w:t>
      </w:r>
    </w:p>
    <w:p>
      <w:pPr>
        <w:numPr>
          <w:ilvl w:val="0"/>
          <w:numId w:val="15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添加发货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drawing>
          <wp:inline distT="0" distB="0" distL="114300" distR="114300">
            <wp:extent cx="571500" cy="228600"/>
            <wp:effectExtent l="0" t="0" r="0" b="0"/>
            <wp:docPr id="19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图片 58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</w:t>
      </w:r>
    </w:p>
    <w:p>
      <w:pPr>
        <w:keepNext w:val="0"/>
        <w:keepLines w:val="0"/>
        <w:pageBreakBefore w:val="0"/>
        <w:widowControl w:val="0"/>
        <w:numPr>
          <w:ilvl w:val="0"/>
          <w:numId w:val="16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选择发货商品。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勾选发货商品，点击“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790575" cy="333375"/>
            <wp:effectExtent l="0" t="0" r="9525" b="9525"/>
            <wp:docPr id="20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图片 60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</w:t>
      </w:r>
    </w:p>
    <w:p>
      <w:pPr>
        <w:numPr>
          <w:ilvl w:val="0"/>
          <w:numId w:val="0"/>
        </w:numPr>
        <w:jc w:val="center"/>
        <w:rPr>
          <w:rFonts w:hint="default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4804410" cy="2304415"/>
            <wp:effectExtent l="0" t="0" r="15240" b="635"/>
            <wp:docPr id="19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图片 59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80441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6"/>
        </w:num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填写发货单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52450" cy="219075"/>
            <wp:effectExtent l="0" t="0" r="0" b="9525"/>
            <wp:docPr id="20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62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”，填写实发数量、选择物流公司、填写运单号码、发货说明、上传图片。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73040" cy="1763395"/>
            <wp:effectExtent l="0" t="0" r="3810" b="8255"/>
            <wp:docPr id="20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6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6"/>
        </w:num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提交发货单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drawing>
          <wp:inline distT="0" distB="0" distL="114300" distR="114300">
            <wp:extent cx="971550" cy="304800"/>
            <wp:effectExtent l="0" t="0" r="0" b="0"/>
            <wp:docPr id="204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6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”即可提交发货单。</w:t>
      </w:r>
    </w:p>
    <w:p>
      <w:pPr>
        <w:rPr>
          <w:rFonts w:hint="default"/>
          <w:lang w:val="en-US" w:eastAsia="zh-CN"/>
        </w:rPr>
      </w:pP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34" w:name="_Toc26985"/>
      <w:r>
        <w:rPr>
          <w:rFonts w:hint="eastAsia" w:eastAsia="微软雅黑"/>
          <w:b/>
          <w:sz w:val="21"/>
          <w:lang w:val="en-US" w:eastAsia="zh-CN"/>
        </w:rPr>
        <w:t>6.3.5.4合同发货单</w:t>
      </w:r>
      <w:bookmarkEnd w:id="34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合同发货流程如图所示：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6044565" cy="565150"/>
            <wp:effectExtent l="0" t="0" r="1333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04456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7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确认数量及价格。</w:t>
      </w:r>
    </w:p>
    <w:p>
      <w:pPr>
        <w:numPr>
          <w:ilvl w:val="0"/>
          <w:numId w:val="17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单价及数量无误的情况下直接点击“</w:t>
      </w:r>
      <w:r>
        <w:drawing>
          <wp:inline distT="0" distB="0" distL="114300" distR="114300">
            <wp:extent cx="1076325" cy="304800"/>
            <wp:effectExtent l="0" t="0" r="9525" b="0"/>
            <wp:docPr id="206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6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”有误的情况下可点击</w:t>
      </w:r>
      <w:r>
        <w:rPr>
          <w:rFonts w:hint="eastAsia"/>
          <w:lang w:val="en-US" w:eastAsia="zh-CN"/>
        </w:rPr>
        <w:t>“</w:t>
      </w:r>
      <w:r>
        <w:drawing>
          <wp:inline distT="0" distB="0" distL="114300" distR="114300">
            <wp:extent cx="723900" cy="228600"/>
            <wp:effectExtent l="0" t="0" r="0" b="0"/>
            <wp:docPr id="207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65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t>””</w:t>
      </w:r>
      <w:r>
        <w:drawing>
          <wp:inline distT="0" distB="0" distL="114300" distR="114300">
            <wp:extent cx="723900" cy="190500"/>
            <wp:effectExtent l="0" t="0" r="0" b="0"/>
            <wp:docPr id="208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6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lang w:val="en-US" w:eastAsia="zh-CN"/>
        </w:rPr>
        <w:t>”</w:t>
      </w:r>
      <w:r>
        <w:rPr>
          <w:rFonts w:hint="eastAsia" w:ascii="微软雅黑" w:hAnsi="微软雅黑" w:eastAsia="微软雅黑"/>
          <w:lang w:val="en-US" w:eastAsia="zh-CN"/>
        </w:rPr>
        <w:t>对价格、数量进行修改。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724525" cy="953770"/>
            <wp:effectExtent l="0" t="0" r="9525" b="17780"/>
            <wp:docPr id="2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  <w:sz w:val="24"/>
          <w:szCs w:val="24"/>
          <w:lang w:val="en-US" w:eastAsia="zh-CN"/>
        </w:rPr>
      </w:pPr>
      <w:bookmarkStart w:id="35" w:name="_Toc32343"/>
      <w:r>
        <w:rPr>
          <w:rFonts w:hint="eastAsia"/>
          <w:sz w:val="24"/>
          <w:szCs w:val="24"/>
          <w:lang w:val="en-US" w:eastAsia="zh-CN"/>
        </w:rPr>
        <w:t>6.3.6物流配送</w:t>
      </w:r>
      <w:bookmarkEnd w:id="35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在“物流配送”模块下卖家可以添加运单模板。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default" w:ascii="微软雅黑" w:hAnsi="微软雅黑" w:eastAsia="微软雅黑"/>
          <w:lang w:val="en-US" w:eastAsia="zh-CN"/>
        </w:rPr>
        <w:t>点击“</w:t>
      </w:r>
      <w:r>
        <w:drawing>
          <wp:inline distT="0" distB="0" distL="114300" distR="114300">
            <wp:extent cx="885825" cy="228600"/>
            <wp:effectExtent l="0" t="0" r="9525" b="0"/>
            <wp:docPr id="209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67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lang w:val="en-US" w:eastAsia="zh-CN"/>
        </w:rPr>
        <w:t>”，填写模板名称、选择物流名称（由平台设置）、上传单据图片并设置发货与收货人信息后点击“</w:t>
      </w:r>
      <w:r>
        <w:drawing>
          <wp:inline distT="0" distB="0" distL="114300" distR="114300">
            <wp:extent cx="342900" cy="209550"/>
            <wp:effectExtent l="0" t="0" r="0" b="0"/>
            <wp:docPr id="210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68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/>
          <w:lang w:val="en-US" w:eastAsia="zh-CN"/>
        </w:rPr>
        <w:t>”。</w:t>
      </w:r>
      <w:r>
        <w:rPr>
          <w:rFonts w:hint="eastAsia" w:ascii="微软雅黑" w:hAnsi="微软雅黑" w:eastAsia="微软雅黑"/>
          <w:lang w:val="en-US" w:eastAsia="zh-CN"/>
        </w:rPr>
        <w:t>保存后</w:t>
      </w:r>
      <w:r>
        <w:rPr>
          <w:rFonts w:hint="default" w:ascii="微软雅黑" w:hAnsi="微软雅黑" w:eastAsia="微软雅黑"/>
          <w:lang w:val="en-US" w:eastAsia="zh-CN"/>
        </w:rPr>
        <w:t>点击“启用”。如</w:t>
      </w:r>
      <w:r>
        <w:rPr>
          <w:rFonts w:hint="eastAsia" w:ascii="微软雅黑" w:hAnsi="微软雅黑" w:eastAsia="微软雅黑"/>
          <w:lang w:val="en-US" w:eastAsia="zh-CN"/>
        </w:rPr>
        <w:t>图1、图2</w:t>
      </w:r>
      <w:r>
        <w:rPr>
          <w:rFonts w:hint="default" w:ascii="微软雅黑" w:hAnsi="微软雅黑" w:eastAsia="微软雅黑"/>
          <w:lang w:val="en-US" w:eastAsia="zh-CN"/>
        </w:rPr>
        <w:t>所示：</w:t>
      </w:r>
    </w:p>
    <w:p>
      <w:pPr>
        <w:ind w:firstLine="420" w:firstLineChars="200"/>
      </w:pPr>
      <w:r>
        <w:drawing>
          <wp:inline distT="0" distB="0" distL="114300" distR="114300">
            <wp:extent cx="5572125" cy="1632585"/>
            <wp:effectExtent l="0" t="0" r="9525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163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ind w:firstLine="420" w:firstLineChars="200"/>
      </w:pPr>
      <w:r>
        <w:drawing>
          <wp:inline distT="0" distB="0" distL="114300" distR="114300">
            <wp:extent cx="5483225" cy="3358515"/>
            <wp:effectExtent l="0" t="0" r="3175" b="13335"/>
            <wp:docPr id="2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</w:t>
      </w:r>
    </w:p>
    <w:p>
      <w:pPr>
        <w:pStyle w:val="4"/>
        <w:rPr>
          <w:rFonts w:hint="eastAsia"/>
          <w:sz w:val="24"/>
          <w:szCs w:val="24"/>
          <w:lang w:val="en-US" w:eastAsia="zh-CN"/>
        </w:rPr>
      </w:pPr>
      <w:bookmarkStart w:id="36" w:name="_Toc16683"/>
      <w:r>
        <w:rPr>
          <w:rFonts w:hint="eastAsia"/>
          <w:sz w:val="24"/>
          <w:szCs w:val="24"/>
          <w:lang w:val="en-US" w:eastAsia="zh-CN"/>
        </w:rPr>
        <w:t>6.3.7客户服务</w:t>
      </w:r>
      <w:bookmarkEnd w:id="36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客户服务模块下有：订单退款、建材退货退款、合同退款列表、我的投诉等子模块。</w:t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37" w:name="_Toc10886"/>
      <w:r>
        <w:rPr>
          <w:rFonts w:hint="eastAsia" w:eastAsia="微软雅黑"/>
          <w:b/>
          <w:sz w:val="21"/>
          <w:lang w:val="en-US" w:eastAsia="zh-CN"/>
        </w:rPr>
        <w:t>6.3.7.1订单退款</w:t>
      </w:r>
      <w:bookmarkEnd w:id="37"/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订单退款流程如下图：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748020" cy="381635"/>
            <wp:effectExtent l="0" t="0" r="5080" b="18415"/>
            <wp:docPr id="2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3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5748020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8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受理退款</w:t>
      </w:r>
    </w:p>
    <w:p>
      <w:pPr>
        <w:numPr>
          <w:ilvl w:val="0"/>
          <w:numId w:val="19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卖家在“订单退款”页面点击“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685800" cy="180975"/>
            <wp:effectExtent l="0" t="0" r="0" b="9525"/>
            <wp:docPr id="213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6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5784850" cy="1163320"/>
            <wp:effectExtent l="0" t="0" r="6350" b="17780"/>
            <wp:docPr id="2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填写卖家说明，选择“申请状态”。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537835" cy="3354070"/>
            <wp:effectExtent l="0" t="0" r="5715" b="17780"/>
            <wp:docPr id="2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图片 4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5537835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9"/>
        </w:num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33400" cy="257175"/>
            <wp:effectExtent l="0" t="0" r="0" b="9525"/>
            <wp:docPr id="21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70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”。待平台管理员审核通过后，会将退款金额以"钱包余额"的形式返还到买家的余额账户中。</w:t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38" w:name="_Toc29922"/>
      <w:r>
        <w:rPr>
          <w:rFonts w:hint="eastAsia" w:eastAsia="微软雅黑"/>
          <w:b/>
          <w:sz w:val="21"/>
          <w:lang w:val="en-US" w:eastAsia="zh-CN"/>
        </w:rPr>
        <w:t>6.3.7.2订单退货退款</w:t>
      </w:r>
      <w:bookmarkEnd w:id="38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订单退货退款流程如下图：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74310" cy="275590"/>
            <wp:effectExtent l="0" t="0" r="2540" b="10160"/>
            <wp:docPr id="217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7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受理退款</w:t>
      </w:r>
    </w:p>
    <w:p>
      <w:pPr>
        <w:numPr>
          <w:ilvl w:val="0"/>
          <w:numId w:val="21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卖家在“订单退货退款”页面点击“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685800" cy="180975"/>
            <wp:effectExtent l="0" t="0" r="0" b="9525"/>
            <wp:docPr id="218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69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5784850" cy="1163320"/>
            <wp:effectExtent l="0" t="0" r="6350" b="17780"/>
            <wp:docPr id="2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8485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1"/>
        </w:num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填写收货人、联系方式、详细地址、卖家退款说明，选择“状态”。后点击“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33400" cy="257175"/>
            <wp:effectExtent l="0" t="0" r="0" b="9525"/>
            <wp:docPr id="226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70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4981575" cy="2790825"/>
            <wp:effectExtent l="0" t="0" r="9525" b="9525"/>
            <wp:docPr id="225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72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0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卖家收货。</w:t>
      </w:r>
    </w:p>
    <w:p>
      <w:pPr>
        <w:numPr>
          <w:ilvl w:val="0"/>
          <w:numId w:val="22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卖家在订单退货退款页面点击“</w:t>
      </w:r>
      <w:r>
        <w:drawing>
          <wp:inline distT="0" distB="0" distL="114300" distR="114300">
            <wp:extent cx="866775" cy="219075"/>
            <wp:effectExtent l="0" t="0" r="9525" b="9525"/>
            <wp:docPr id="229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7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</w:t>
      </w:r>
    </w:p>
    <w:p>
      <w:pPr>
        <w:numPr>
          <w:ilvl w:val="0"/>
          <w:numId w:val="22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填写“确认收货备注”。后点击“</w:t>
      </w:r>
      <w:r>
        <w:drawing>
          <wp:inline distT="0" distB="0" distL="114300" distR="114300">
            <wp:extent cx="733425" cy="285750"/>
            <wp:effectExtent l="0" t="0" r="9525" b="0"/>
            <wp:docPr id="23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74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</w:t>
      </w:r>
    </w:p>
    <w:p>
      <w:pPr>
        <w:numPr>
          <w:ilvl w:val="0"/>
          <w:numId w:val="0"/>
        </w:numPr>
        <w:rPr>
          <w:rFonts w:hint="eastAsia" w:ascii="微软雅黑" w:hAnsi="微软雅黑" w:eastAsia="微软雅黑"/>
          <w:lang w:val="en-US" w:eastAsia="zh-CN"/>
        </w:rPr>
      </w:pPr>
    </w:p>
    <w:p>
      <w:pPr>
        <w:ind w:firstLine="420" w:firstLineChars="200"/>
        <w:jc w:val="center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890260" cy="2133600"/>
            <wp:effectExtent l="0" t="0" r="15240" b="0"/>
            <wp:docPr id="2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6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89026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39" w:name="_Toc28343"/>
      <w:r>
        <w:rPr>
          <w:rFonts w:hint="eastAsia" w:eastAsia="微软雅黑"/>
          <w:b/>
          <w:sz w:val="21"/>
          <w:lang w:val="en-US" w:eastAsia="zh-CN"/>
        </w:rPr>
        <w:t>6.3.7.3合同退款列表</w:t>
      </w:r>
      <w:bookmarkEnd w:id="39"/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合同退款流程如下图：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309995" cy="412750"/>
            <wp:effectExtent l="0" t="0" r="14605" b="6350"/>
            <wp:docPr id="23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6309995" cy="41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3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卖家处理退货申请</w:t>
      </w:r>
    </w:p>
    <w:p>
      <w:pPr>
        <w:numPr>
          <w:ilvl w:val="0"/>
          <w:numId w:val="24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卖家在“合同退款列表”页面点击“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600075" cy="257175"/>
            <wp:effectExtent l="0" t="0" r="9525" b="9525"/>
            <wp:docPr id="233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75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drawing>
          <wp:inline distT="0" distB="0" distL="114300" distR="114300">
            <wp:extent cx="5273675" cy="2130425"/>
            <wp:effectExtent l="0" t="0" r="3175" b="3175"/>
            <wp:docPr id="235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76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3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4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卖家审核信息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填写收货人、联系方式、收货地址、操作备注等信息。点击“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600075" cy="238125"/>
            <wp:effectExtent l="0" t="0" r="9525" b="9525"/>
            <wp:docPr id="238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77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062855" cy="3199130"/>
            <wp:effectExtent l="0" t="0" r="4445" b="1270"/>
            <wp:docPr id="2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5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506285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4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卖家收货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4671695" cy="1613535"/>
            <wp:effectExtent l="0" t="0" r="14605" b="5715"/>
            <wp:docPr id="24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8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467169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outlineLvl w:val="3"/>
        <w:rPr>
          <w:rFonts w:hint="eastAsia" w:eastAsia="微软雅黑"/>
          <w:b/>
          <w:sz w:val="21"/>
          <w:lang w:val="en-US" w:eastAsia="zh-CN"/>
        </w:rPr>
      </w:pPr>
      <w:bookmarkStart w:id="40" w:name="_Toc29166"/>
      <w:r>
        <w:rPr>
          <w:rFonts w:hint="eastAsia" w:eastAsia="微软雅黑"/>
          <w:b/>
          <w:sz w:val="21"/>
          <w:lang w:val="en-US" w:eastAsia="zh-CN"/>
        </w:rPr>
        <w:t>6.3.7.4我的投诉</w:t>
      </w:r>
      <w:bookmarkEnd w:id="40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卖家可在“我的投诉”页面查看投诉内容。</w:t>
      </w:r>
    </w:p>
    <w:p>
      <w:pPr>
        <w:ind w:firstLine="420" w:firstLineChars="200"/>
      </w:pPr>
      <w:r>
        <w:drawing>
          <wp:inline distT="0" distB="0" distL="114300" distR="114300">
            <wp:extent cx="5272405" cy="1744980"/>
            <wp:effectExtent l="0" t="0" r="4445" b="7620"/>
            <wp:docPr id="2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default"/>
          <w:sz w:val="28"/>
          <w:szCs w:val="28"/>
          <w:lang w:val="en-US" w:eastAsia="zh-CN"/>
        </w:rPr>
      </w:pPr>
      <w:bookmarkStart w:id="41" w:name="_Toc25554"/>
      <w:r>
        <w:rPr>
          <w:rFonts w:hint="eastAsia"/>
          <w:sz w:val="28"/>
          <w:szCs w:val="28"/>
          <w:lang w:val="en-US" w:eastAsia="zh-CN"/>
        </w:rPr>
        <w:t>6.4资产中心</w:t>
      </w:r>
      <w:bookmarkEnd w:id="41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资产中心</w:t>
      </w:r>
      <w:r>
        <w:rPr>
          <w:rFonts w:hint="eastAsia" w:ascii="微软雅黑" w:hAnsi="微软雅黑" w:eastAsia="微软雅黑"/>
        </w:rPr>
        <w:t>功能模块</w:t>
      </w:r>
      <w:r>
        <w:rPr>
          <w:rFonts w:hint="eastAsia" w:ascii="微软雅黑" w:hAnsi="微软雅黑" w:eastAsia="微软雅黑"/>
          <w:lang w:val="en-US" w:eastAsia="zh-CN"/>
        </w:rPr>
        <w:t>下有</w:t>
      </w:r>
      <w:r>
        <w:rPr>
          <w:rFonts w:hint="eastAsia" w:ascii="微软雅黑" w:hAnsi="微软雅黑" w:eastAsia="微软雅黑"/>
        </w:rPr>
        <w:t>：</w:t>
      </w:r>
      <w:r>
        <w:rPr>
          <w:rFonts w:hint="eastAsia" w:ascii="微软雅黑" w:hAnsi="微软雅黑" w:eastAsia="微软雅黑"/>
          <w:lang w:val="en-US" w:eastAsia="zh-CN"/>
        </w:rPr>
        <w:t>账期授信、专款专用（待升级）等2个子模块。</w:t>
      </w:r>
    </w:p>
    <w:p>
      <w:pPr>
        <w:pStyle w:val="4"/>
        <w:rPr>
          <w:rFonts w:hint="eastAsia"/>
          <w:sz w:val="24"/>
          <w:szCs w:val="24"/>
          <w:lang w:val="en-US" w:eastAsia="zh-CN"/>
        </w:rPr>
      </w:pPr>
      <w:bookmarkStart w:id="42" w:name="_Toc29307"/>
      <w:r>
        <w:rPr>
          <w:rFonts w:hint="eastAsia"/>
          <w:sz w:val="24"/>
          <w:szCs w:val="24"/>
          <w:lang w:val="en-US" w:eastAsia="zh-CN"/>
        </w:rPr>
        <w:t>6.4.1账期授信</w:t>
      </w:r>
      <w:bookmarkEnd w:id="42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账期授信额是指，买家在授信额度内下单后不用付款就可以进货，在确认收货后的结算日期内按时完成支付的交易方式。 卖家开通服务后，可以根据合作情况，给予信赖的买家账期支付授信额度，并协商制定结算日期。</w:t>
      </w:r>
    </w:p>
    <w:p>
      <w:pPr>
        <w:pStyle w:val="5"/>
        <w:outlineLvl w:val="3"/>
        <w:rPr>
          <w:rFonts w:hint="default" w:eastAsia="微软雅黑"/>
          <w:b/>
          <w:sz w:val="21"/>
          <w:lang w:val="en-US" w:eastAsia="zh-CN"/>
        </w:rPr>
      </w:pPr>
      <w:bookmarkStart w:id="43" w:name="_Toc21682"/>
      <w:r>
        <w:rPr>
          <w:rFonts w:hint="eastAsia" w:eastAsia="微软雅黑"/>
          <w:b/>
          <w:sz w:val="21"/>
          <w:lang w:val="en-US" w:eastAsia="zh-CN"/>
        </w:rPr>
        <w:t>6.4.1.1我授予的账期授信</w:t>
      </w:r>
      <w:bookmarkEnd w:id="43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在“我授予的账期授信”页面中，卖家可以查看已授信的会员和新增授信会员。</w:t>
      </w:r>
    </w:p>
    <w:p>
      <w:pPr>
        <w:numPr>
          <w:ilvl w:val="0"/>
          <w:numId w:val="25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638175" cy="228600"/>
            <wp:effectExtent l="0" t="0" r="9525" b="0"/>
            <wp:docPr id="24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79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”对会员进行授信。</w:t>
      </w:r>
      <w:bookmarkStart w:id="44" w:name="_Toc32259"/>
      <w:bookmarkStart w:id="45" w:name="_Toc24720"/>
      <w:r>
        <w:rPr>
          <w:rFonts w:hint="eastAsia" w:ascii="微软雅黑" w:hAnsi="微软雅黑" w:eastAsia="微软雅黑"/>
          <w:lang w:val="en-US" w:eastAsia="zh-CN"/>
        </w:rPr>
        <w:t>搜素会员-勾选会员，点击“</w:t>
      </w: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485775" cy="190500"/>
            <wp:effectExtent l="0" t="0" r="9525" b="0"/>
            <wp:docPr id="14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1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</w:t>
      </w: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bookmarkStart w:id="49" w:name="_GoBack"/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68595" cy="1326515"/>
            <wp:effectExtent l="0" t="0" r="8255" b="6985"/>
            <wp:docPr id="244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80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2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4"/>
      <w:bookmarkEnd w:id="45"/>
    </w:p>
    <w:bookmarkEnd w:id="49"/>
    <w:p>
      <w:pPr>
        <w:numPr>
          <w:ilvl w:val="0"/>
          <w:numId w:val="25"/>
        </w:num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填写授信总额度，点击“</w:t>
      </w:r>
      <w:r>
        <w:drawing>
          <wp:inline distT="0" distB="0" distL="114300" distR="114300">
            <wp:extent cx="695325" cy="238125"/>
            <wp:effectExtent l="0" t="0" r="9525" b="952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lang w:val="en-US" w:eastAsia="zh-CN"/>
        </w:rPr>
        <w:t>”。</w:t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730875" cy="1148715"/>
            <wp:effectExtent l="0" t="0" r="3175" b="13335"/>
            <wp:docPr id="248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82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outlineLvl w:val="3"/>
        <w:rPr>
          <w:rFonts w:hint="default" w:eastAsia="微软雅黑"/>
          <w:b/>
          <w:sz w:val="21"/>
          <w:lang w:val="en-US" w:eastAsia="zh-CN"/>
        </w:rPr>
      </w:pPr>
      <w:bookmarkStart w:id="46" w:name="_Toc4587"/>
      <w:r>
        <w:rPr>
          <w:rFonts w:hint="eastAsia" w:eastAsia="微软雅黑"/>
          <w:b/>
          <w:sz w:val="21"/>
          <w:lang w:val="en-US" w:eastAsia="zh-CN"/>
        </w:rPr>
        <w:t>6.4.1.2我获得的账期授信</w:t>
      </w:r>
      <w:bookmarkEnd w:id="46"/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  <w:bookmarkStart w:id="47" w:name="_Toc8847"/>
      <w:bookmarkStart w:id="48" w:name="_Toc24623"/>
      <w:r>
        <w:rPr>
          <w:rFonts w:hint="eastAsia" w:ascii="微软雅黑" w:hAnsi="微软雅黑" w:eastAsia="微软雅黑"/>
          <w:lang w:val="en-US" w:eastAsia="zh-CN"/>
        </w:rPr>
        <w:t>在“我获得的账期授信”页面中，卖家可以查看已获得的授信。</w:t>
      </w:r>
      <w:bookmarkEnd w:id="47"/>
      <w:bookmarkEnd w:id="48"/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drawing>
          <wp:inline distT="0" distB="0" distL="114300" distR="114300">
            <wp:extent cx="5272405" cy="1692910"/>
            <wp:effectExtent l="0" t="0" r="4445" b="2540"/>
            <wp:docPr id="249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83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</w:p>
    <w:p>
      <w:pPr>
        <w:ind w:firstLine="420" w:firstLineChars="200"/>
        <w:rPr>
          <w:rFonts w:hint="default"/>
          <w:lang w:val="en-US" w:eastAsia="zh-CN"/>
        </w:rPr>
      </w:pP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</w:p>
    <w:p>
      <w:pPr>
        <w:ind w:firstLine="420" w:firstLineChars="200"/>
        <w:rPr>
          <w:rFonts w:hint="default" w:ascii="微软雅黑" w:hAnsi="微软雅黑" w:eastAsia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微软雅黑" w:hAnsi="微软雅黑" w:eastAsia="微软雅黑"/>
          <w:lang w:val="en-US" w:eastAsia="zh-CN"/>
        </w:rPr>
      </w:pPr>
    </w:p>
    <w:p>
      <w:pPr>
        <w:ind w:firstLine="420" w:firstLineChars="200"/>
        <w:rPr>
          <w:rFonts w:hint="eastAsia" w:ascii="微软雅黑" w:hAnsi="微软雅黑" w:eastAsia="微软雅黑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1162050</wp:posOffset>
            </wp:positionV>
            <wp:extent cx="7562850" cy="9571355"/>
            <wp:effectExtent l="0" t="0" r="0" b="0"/>
            <wp:wrapNone/>
            <wp:docPr id="1256" name="图片 1256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" name="图片 1256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2655" cy="9571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onaco">
    <w:panose1 w:val="020B0509030404040204"/>
    <w:charset w:val="00"/>
    <w:family w:val="auto"/>
    <w:pitch w:val="default"/>
    <w:sig w:usb0="00000000" w:usb1="00000000" w:usb2="00000000" w:usb3="00000000" w:csb0="00000000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+中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+西文正文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6257925" cy="170815"/>
              <wp:effectExtent l="0" t="0" r="0" b="0"/>
              <wp:wrapNone/>
              <wp:docPr id="473" name="文本框 4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7925" cy="17081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>
                          <w:pPr>
                            <w:rPr>
                              <w:rFonts w:ascii="宋体" w:hAnsi="宋体" w:eastAsia="宋体" w:cs="宋体"/>
                              <w:position w:val="-3"/>
                              <w:sz w:val="28"/>
                            </w:rPr>
                          </w:pPr>
                          <w:sdt>
                            <w:sdtPr>
                              <w:rPr>
                                <w:rFonts w:ascii="宋体" w:hAnsi="宋体" w:eastAsia="宋体" w:cs="宋体"/>
                                <w:position w:val="-3"/>
                                <w:sz w:val="28"/>
                              </w:rPr>
                              <w:alias w:val="标题"/>
                              <w:id w:val="78679243"/>
              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>
                              <w:rPr>
                                <w:rFonts w:ascii="宋体" w:hAnsi="宋体" w:eastAsia="宋体" w:cs="宋体"/>
                                <w:position w:val="-3"/>
                                <w:sz w:val="28"/>
                              </w:rPr>
                            </w:sdtEndPr>
                            <w:sdtContent>
                              <w:r>
                                <w:rPr>
                                  <w:rFonts w:hint="eastAsia" w:ascii="宋体" w:hAnsi="宋体" w:eastAsia="宋体" w:cs="宋体"/>
                                  <w:position w:val="-3"/>
                                  <w:sz w:val="28"/>
                                </w:rPr>
                                <w:t>建研家商城——商家手册</w:t>
                              </w:r>
                            </w:sdtContent>
                          </w:sdt>
                          <w:r>
                            <w:rPr>
                              <w:rFonts w:hint="eastAsia" w:ascii="宋体" w:hAnsi="宋体" w:eastAsia="宋体" w:cs="宋体"/>
                              <w:position w:val="-3"/>
                              <w:sz w:val="28"/>
                            </w:rPr>
                            <w:t xml:space="preserve">                                    </w:t>
                          </w:r>
                          <w:r>
                            <w:rPr>
                              <w:rFonts w:hint="eastAsia" w:ascii="宋体" w:hAnsi="宋体" w:eastAsia="宋体" w:cs="宋体"/>
                              <w:position w:val="-3"/>
                              <w:sz w:val="28"/>
                            </w:rPr>
                            <w:drawing>
                              <wp:inline distT="0" distB="0" distL="0" distR="0">
                                <wp:extent cx="874395" cy="383540"/>
                                <wp:effectExtent l="0" t="0" r="1905" b="0"/>
                                <wp:docPr id="116" name="图片 1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16" name="图片 116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74776" cy="3840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>
                          <w:r>
                            <w:rPr>
                              <w:rFonts w:hint="eastAsia" w:ascii="宋体" w:hAnsi="宋体" w:eastAsia="宋体" w:cs="宋体"/>
                              <w:position w:val="-3"/>
                              <w:sz w:val="28"/>
                            </w:rPr>
                            <w:t xml:space="preserve">                                                   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90pt;margin-top:12.45pt;height:13.45pt;width:492.75pt;mso-position-horizontal-relative:page;mso-position-vertical-relative:page;z-index:251660288;v-text-anchor:middle;mso-width-relative:page;mso-height-relative:page;" filled="f" stroked="f" coordsize="21600,21600" o:allowincell="f" o:gfxdata="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">
              <v:fill on="f" focussize="0,0"/>
              <v:stroke on="f"/>
              <v:imagedata o:title=""/>
              <o:lock v:ext="edit" aspectratio="f"/>
              <v:textbox inset="2.54mm,0mm,2.54mm,0mm" style="mso-fit-shape-to-text:t;">
                <w:txbxContent>
                  <w:p>
                    <w:pPr>
                      <w:rPr>
                        <w:rFonts w:ascii="宋体" w:hAnsi="宋体" w:eastAsia="宋体" w:cs="宋体"/>
                        <w:position w:val="-3"/>
                        <w:sz w:val="28"/>
                      </w:rPr>
                    </w:pPr>
                    <w:sdt>
                      <w:sdtPr>
                        <w:rPr>
                          <w:rFonts w:ascii="宋体" w:hAnsi="宋体" w:eastAsia="宋体" w:cs="宋体"/>
                          <w:position w:val="-3"/>
                          <w:sz w:val="28"/>
                        </w:rPr>
                        <w:alias w:val="标题"/>
                        <w:id w:val="78679243"/>
                        <w15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>
                        <w:rPr>
                          <w:rFonts w:ascii="宋体" w:hAnsi="宋体" w:eastAsia="宋体" w:cs="宋体"/>
                          <w:position w:val="-3"/>
                          <w:sz w:val="28"/>
                        </w:rPr>
                      </w:sdtEndPr>
                      <w:sdtContent>
                        <w:r>
                          <w:rPr>
                            <w:rFonts w:hint="eastAsia" w:ascii="宋体" w:hAnsi="宋体" w:eastAsia="宋体" w:cs="宋体"/>
                            <w:position w:val="-3"/>
                            <w:sz w:val="28"/>
                          </w:rPr>
                          <w:t>建研家商城——商家手册</w:t>
                        </w:r>
                      </w:sdtContent>
                    </w:sdt>
                    <w:r>
                      <w:rPr>
                        <w:rFonts w:hint="eastAsia" w:ascii="宋体" w:hAnsi="宋体" w:eastAsia="宋体" w:cs="宋体"/>
                        <w:position w:val="-3"/>
                        <w:sz w:val="28"/>
                      </w:rPr>
                      <w:t xml:space="preserve">                                    </w:t>
                    </w:r>
                    <w:r>
                      <w:rPr>
                        <w:rFonts w:hint="eastAsia" w:ascii="宋体" w:hAnsi="宋体" w:eastAsia="宋体" w:cs="宋体"/>
                        <w:position w:val="-3"/>
                        <w:sz w:val="28"/>
                      </w:rPr>
                      <w:drawing>
                        <wp:inline distT="0" distB="0" distL="0" distR="0">
                          <wp:extent cx="874395" cy="383540"/>
                          <wp:effectExtent l="0" t="0" r="1905" b="0"/>
                          <wp:docPr id="116" name="图片 11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16" name="图片 116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74776" cy="3840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>
                    <w:r>
                      <w:rPr>
                        <w:rFonts w:hint="eastAsia" w:ascii="宋体" w:hAnsi="宋体" w:eastAsia="宋体" w:cs="宋体"/>
                        <w:position w:val="-3"/>
                        <w:sz w:val="28"/>
                      </w:rPr>
                      <w:t xml:space="preserve">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0"/>
              <wp:wrapNone/>
              <wp:docPr id="474" name="文本框 4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</wps:spPr>
                    <wps:txbx>
                      <w:txbxContent>
                        <w:p>
                          <w:pPr>
                            <w:jc w:val="right"/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numForm w14:val="lining"/>
                            </w:rPr>
                          </w:pPr>
                          <w:r>
                            <w:rPr>
                              <w14:numForm w14:val="lining"/>
                            </w:rPr>
                            <w:fldChar w:fldCharType="begin"/>
                          </w:r>
                          <w:r>
                            <w:rPr>
                              <w14:numForm w14:val="lining"/>
                            </w:rPr>
                            <w:instrText xml:space="preserve">PAGE   \* MERGEFORMAT</w:instrText>
                          </w:r>
                          <w:r>
                            <w:rPr>
                              <w14:numForm w14:val="lining"/>
                            </w:rPr>
                            <w:fldChar w:fldCharType="separate"/>
                          </w:r>
                          <w:r>
                            <w:rPr>
                              <w:color w:val="FFFFFF" w:themeColor="background1"/>
                              <w:lang w:val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numForm w14:val="lining"/>
                            </w:rPr>
                            <w:t>26</w:t>
                          </w:r>
                          <w:r>
                            <w:rPr>
                              <w:color w:val="FFFFFF" w:themeColor="background1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  <w14:numForm w14:val="lining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6" o:spid="_x0000_s1026" o:spt="202" type="#_x0000_t202" style="position:absolute;left:0pt;margin-left:0.05pt;margin-top:29.6pt;height:13.45pt;width:72pt;mso-position-horizontal-relative:page;mso-position-vertical-relative:page;z-index:251659264;v-text-anchor:middle;mso-width-relative:left-margin-area;mso-height-relative:page;mso-width-percent:1000;" fillcolor="#4F81BD [3204]" filled="t" stroked="f" coordsize="21600,21600" o:allowincell="f" o:gfxdata="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oDKHJ0gAAAAQBAAAPAAAAAAAAAAEAIAAAACIAAABkcnMvZG93bnJl&#10;di54bWxQSwECFAAUAAAACACHTuJAdWFnEwMCAADVAwAADgAAAAAAAAABACAAAAAhAQAAZHJzL2Uy&#10;b0RvYy54bWxQSwUGAAAAAAYABgBZAQAAlgUAAAAA&#10;">
              <v:fill on="t" focussize="0,0"/>
              <v:stroke on="f"/>
              <v:imagedata o:title=""/>
              <o:lock v:ext="edit" aspectratio="f"/>
              <v:textbox inset="2.54mm,0mm,2.54mm,0mm" style="mso-fit-shape-to-text:t;">
                <w:txbxContent>
                  <w:p>
                    <w:pPr>
                      <w:jc w:val="right"/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  <w14:numForm w14:val="lining"/>
                      </w:rPr>
                    </w:pPr>
                    <w:r>
                      <w:rPr>
                        <w14:numForm w14:val="lining"/>
                      </w:rPr>
                      <w:fldChar w:fldCharType="begin"/>
                    </w:r>
                    <w:r>
                      <w:rPr>
                        <w14:numForm w14:val="lining"/>
                      </w:rPr>
                      <w:instrText xml:space="preserve">PAGE   \* MERGEFORMAT</w:instrText>
                    </w:r>
                    <w:r>
                      <w:rPr>
                        <w14:numForm w14:val="lining"/>
                      </w:rPr>
                      <w:fldChar w:fldCharType="separate"/>
                    </w:r>
                    <w:r>
                      <w:rPr>
                        <w:color w:val="FFFFFF" w:themeColor="background1"/>
                        <w:lang w:val="zh-CN"/>
                        <w14:textFill>
                          <w14:solidFill>
                            <w14:schemeClr w14:val="bg1"/>
                          </w14:solidFill>
                        </w14:textFill>
                        <w14:numForm w14:val="lining"/>
                      </w:rPr>
                      <w:t>26</w:t>
                    </w:r>
                    <w:r>
                      <w:rPr>
                        <w:color w:val="FFFFFF" w:themeColor="background1"/>
                        <w14:textFill>
                          <w14:solidFill>
                            <w14:schemeClr w14:val="bg1"/>
                          </w14:solidFill>
                        </w14:textFill>
                        <w14:numForm w14:val="lining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4069494"/>
    <w:multiLevelType w:val="singleLevel"/>
    <w:tmpl w:val="8406949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84BD5984"/>
    <w:multiLevelType w:val="singleLevel"/>
    <w:tmpl w:val="84BD5984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9171530E"/>
    <w:multiLevelType w:val="singleLevel"/>
    <w:tmpl w:val="9171530E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92BD5653"/>
    <w:multiLevelType w:val="singleLevel"/>
    <w:tmpl w:val="92BD5653"/>
    <w:lvl w:ilvl="0" w:tentative="0">
      <w:start w:val="1"/>
      <w:numFmt w:val="lowerLetter"/>
      <w:suff w:val="nothing"/>
      <w:lvlText w:val="%1、"/>
      <w:lvlJc w:val="left"/>
    </w:lvl>
  </w:abstractNum>
  <w:abstractNum w:abstractNumId="4">
    <w:nsid w:val="9C5E7CCD"/>
    <w:multiLevelType w:val="singleLevel"/>
    <w:tmpl w:val="9C5E7CCD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A99FE614"/>
    <w:multiLevelType w:val="singleLevel"/>
    <w:tmpl w:val="A99FE614"/>
    <w:lvl w:ilvl="0" w:tentative="0">
      <w:start w:val="1"/>
      <w:numFmt w:val="decimal"/>
      <w:suff w:val="nothing"/>
      <w:lvlText w:val="（%1）"/>
      <w:lvlJc w:val="left"/>
    </w:lvl>
  </w:abstractNum>
  <w:abstractNum w:abstractNumId="6">
    <w:nsid w:val="B0A3C5FC"/>
    <w:multiLevelType w:val="singleLevel"/>
    <w:tmpl w:val="B0A3C5FC"/>
    <w:lvl w:ilvl="0" w:tentative="0">
      <w:start w:val="1"/>
      <w:numFmt w:val="lowerLetter"/>
      <w:suff w:val="nothing"/>
      <w:lvlText w:val="%1、"/>
      <w:lvlJc w:val="left"/>
    </w:lvl>
  </w:abstractNum>
  <w:abstractNum w:abstractNumId="7">
    <w:nsid w:val="B3082C63"/>
    <w:multiLevelType w:val="singleLevel"/>
    <w:tmpl w:val="B3082C63"/>
    <w:lvl w:ilvl="0" w:tentative="0">
      <w:start w:val="1"/>
      <w:numFmt w:val="lowerLetter"/>
      <w:suff w:val="nothing"/>
      <w:lvlText w:val="%1、"/>
      <w:lvlJc w:val="left"/>
    </w:lvl>
  </w:abstractNum>
  <w:abstractNum w:abstractNumId="8">
    <w:nsid w:val="BC647447"/>
    <w:multiLevelType w:val="singleLevel"/>
    <w:tmpl w:val="BC647447"/>
    <w:lvl w:ilvl="0" w:tentative="0">
      <w:start w:val="1"/>
      <w:numFmt w:val="decimal"/>
      <w:suff w:val="nothing"/>
      <w:lvlText w:val="（%1）"/>
      <w:lvlJc w:val="left"/>
    </w:lvl>
  </w:abstractNum>
  <w:abstractNum w:abstractNumId="9">
    <w:nsid w:val="D3D5EBB6"/>
    <w:multiLevelType w:val="singleLevel"/>
    <w:tmpl w:val="D3D5EBB6"/>
    <w:lvl w:ilvl="0" w:tentative="0">
      <w:start w:val="2"/>
      <w:numFmt w:val="decimal"/>
      <w:suff w:val="nothing"/>
      <w:lvlText w:val="（%1）"/>
      <w:lvlJc w:val="left"/>
    </w:lvl>
  </w:abstractNum>
  <w:abstractNum w:abstractNumId="10">
    <w:nsid w:val="D444561F"/>
    <w:multiLevelType w:val="singleLevel"/>
    <w:tmpl w:val="D444561F"/>
    <w:lvl w:ilvl="0" w:tentative="0">
      <w:start w:val="1"/>
      <w:numFmt w:val="decimal"/>
      <w:suff w:val="nothing"/>
      <w:lvlText w:val="（%1）"/>
      <w:lvlJc w:val="left"/>
    </w:lvl>
  </w:abstractNum>
  <w:abstractNum w:abstractNumId="11">
    <w:nsid w:val="DBDEE37E"/>
    <w:multiLevelType w:val="singleLevel"/>
    <w:tmpl w:val="DBDEE37E"/>
    <w:lvl w:ilvl="0" w:tentative="0">
      <w:start w:val="1"/>
      <w:numFmt w:val="lowerLetter"/>
      <w:suff w:val="nothing"/>
      <w:lvlText w:val="%1、"/>
      <w:lvlJc w:val="left"/>
    </w:lvl>
  </w:abstractNum>
  <w:abstractNum w:abstractNumId="12">
    <w:nsid w:val="E325FCF9"/>
    <w:multiLevelType w:val="singleLevel"/>
    <w:tmpl w:val="E325FCF9"/>
    <w:lvl w:ilvl="0" w:tentative="0">
      <w:start w:val="1"/>
      <w:numFmt w:val="decimal"/>
      <w:suff w:val="nothing"/>
      <w:lvlText w:val="（%1）"/>
      <w:lvlJc w:val="left"/>
    </w:lvl>
  </w:abstractNum>
  <w:abstractNum w:abstractNumId="13">
    <w:nsid w:val="E366C357"/>
    <w:multiLevelType w:val="singleLevel"/>
    <w:tmpl w:val="E366C357"/>
    <w:lvl w:ilvl="0" w:tentative="0">
      <w:start w:val="1"/>
      <w:numFmt w:val="lowerLetter"/>
      <w:suff w:val="nothing"/>
      <w:lvlText w:val="%1、"/>
      <w:lvlJc w:val="left"/>
    </w:lvl>
  </w:abstractNum>
  <w:abstractNum w:abstractNumId="14">
    <w:nsid w:val="FFBFB5A9"/>
    <w:multiLevelType w:val="singleLevel"/>
    <w:tmpl w:val="FFBFB5A9"/>
    <w:lvl w:ilvl="0" w:tentative="0">
      <w:start w:val="1"/>
      <w:numFmt w:val="decimal"/>
      <w:suff w:val="nothing"/>
      <w:lvlText w:val="（%1）"/>
      <w:lvlJc w:val="left"/>
    </w:lvl>
  </w:abstractNum>
  <w:abstractNum w:abstractNumId="15">
    <w:nsid w:val="11F3236E"/>
    <w:multiLevelType w:val="singleLevel"/>
    <w:tmpl w:val="11F3236E"/>
    <w:lvl w:ilvl="0" w:tentative="0">
      <w:start w:val="1"/>
      <w:numFmt w:val="decimal"/>
      <w:suff w:val="nothing"/>
      <w:lvlText w:val="（%1）"/>
      <w:lvlJc w:val="left"/>
    </w:lvl>
  </w:abstractNum>
  <w:abstractNum w:abstractNumId="16">
    <w:nsid w:val="26695A66"/>
    <w:multiLevelType w:val="singleLevel"/>
    <w:tmpl w:val="26695A66"/>
    <w:lvl w:ilvl="0" w:tentative="0">
      <w:start w:val="1"/>
      <w:numFmt w:val="lowerLetter"/>
      <w:suff w:val="nothing"/>
      <w:lvlText w:val="%1、"/>
      <w:lvlJc w:val="left"/>
    </w:lvl>
  </w:abstractNum>
  <w:abstractNum w:abstractNumId="17">
    <w:nsid w:val="3175585C"/>
    <w:multiLevelType w:val="singleLevel"/>
    <w:tmpl w:val="3175585C"/>
    <w:lvl w:ilvl="0" w:tentative="0">
      <w:start w:val="1"/>
      <w:numFmt w:val="decimal"/>
      <w:suff w:val="nothing"/>
      <w:lvlText w:val="（%1）"/>
      <w:lvlJc w:val="left"/>
    </w:lvl>
  </w:abstractNum>
  <w:abstractNum w:abstractNumId="18">
    <w:nsid w:val="3BB83DC6"/>
    <w:multiLevelType w:val="multilevel"/>
    <w:tmpl w:val="3BB83DC6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9">
    <w:nsid w:val="42AFAD6D"/>
    <w:multiLevelType w:val="singleLevel"/>
    <w:tmpl w:val="42AFAD6D"/>
    <w:lvl w:ilvl="0" w:tentative="0">
      <w:start w:val="1"/>
      <w:numFmt w:val="decimal"/>
      <w:suff w:val="nothing"/>
      <w:lvlText w:val="（%1）"/>
      <w:lvlJc w:val="left"/>
    </w:lvl>
  </w:abstractNum>
  <w:abstractNum w:abstractNumId="20">
    <w:nsid w:val="4624087B"/>
    <w:multiLevelType w:val="singleLevel"/>
    <w:tmpl w:val="4624087B"/>
    <w:lvl w:ilvl="0" w:tentative="0">
      <w:start w:val="1"/>
      <w:numFmt w:val="decimal"/>
      <w:suff w:val="nothing"/>
      <w:lvlText w:val="（%1）"/>
      <w:lvlJc w:val="left"/>
    </w:lvl>
  </w:abstractNum>
  <w:abstractNum w:abstractNumId="21">
    <w:nsid w:val="5AFBCDB7"/>
    <w:multiLevelType w:val="singleLevel"/>
    <w:tmpl w:val="5AFBCDB7"/>
    <w:lvl w:ilvl="0" w:tentative="0">
      <w:start w:val="1"/>
      <w:numFmt w:val="decimal"/>
      <w:suff w:val="nothing"/>
      <w:lvlText w:val="（%1）"/>
      <w:lvlJc w:val="left"/>
    </w:lvl>
  </w:abstractNum>
  <w:abstractNum w:abstractNumId="22">
    <w:nsid w:val="5EF99D5A"/>
    <w:multiLevelType w:val="singleLevel"/>
    <w:tmpl w:val="5EF99D5A"/>
    <w:lvl w:ilvl="0" w:tentative="0">
      <w:start w:val="1"/>
      <w:numFmt w:val="decimal"/>
      <w:suff w:val="nothing"/>
      <w:lvlText w:val="（%1）"/>
      <w:lvlJc w:val="left"/>
    </w:lvl>
  </w:abstractNum>
  <w:abstractNum w:abstractNumId="23">
    <w:nsid w:val="671229CD"/>
    <w:multiLevelType w:val="singleLevel"/>
    <w:tmpl w:val="671229CD"/>
    <w:lvl w:ilvl="0" w:tentative="0">
      <w:start w:val="1"/>
      <w:numFmt w:val="decimal"/>
      <w:suff w:val="nothing"/>
      <w:lvlText w:val="（%1）"/>
      <w:lvlJc w:val="left"/>
    </w:lvl>
  </w:abstractNum>
  <w:abstractNum w:abstractNumId="24">
    <w:nsid w:val="7EE11166"/>
    <w:multiLevelType w:val="singleLevel"/>
    <w:tmpl w:val="7EE11166"/>
    <w:lvl w:ilvl="0" w:tentative="0">
      <w:start w:val="1"/>
      <w:numFmt w:val="lowerLetter"/>
      <w:suff w:val="nothing"/>
      <w:lvlText w:val="%1、"/>
      <w:lvlJc w:val="left"/>
    </w:lvl>
  </w:abstractNum>
  <w:num w:numId="1">
    <w:abstractNumId w:val="18"/>
  </w:num>
  <w:num w:numId="2">
    <w:abstractNumId w:val="8"/>
  </w:num>
  <w:num w:numId="3">
    <w:abstractNumId w:val="21"/>
  </w:num>
  <w:num w:numId="4">
    <w:abstractNumId w:val="9"/>
  </w:num>
  <w:num w:numId="5">
    <w:abstractNumId w:val="4"/>
  </w:num>
  <w:num w:numId="6">
    <w:abstractNumId w:val="15"/>
  </w:num>
  <w:num w:numId="7">
    <w:abstractNumId w:val="23"/>
  </w:num>
  <w:num w:numId="8">
    <w:abstractNumId w:val="10"/>
  </w:num>
  <w:num w:numId="9">
    <w:abstractNumId w:val="7"/>
  </w:num>
  <w:num w:numId="10">
    <w:abstractNumId w:val="11"/>
  </w:num>
  <w:num w:numId="11">
    <w:abstractNumId w:val="20"/>
  </w:num>
  <w:num w:numId="12">
    <w:abstractNumId w:val="0"/>
  </w:num>
  <w:num w:numId="13">
    <w:abstractNumId w:val="24"/>
  </w:num>
  <w:num w:numId="14">
    <w:abstractNumId w:val="5"/>
  </w:num>
  <w:num w:numId="15">
    <w:abstractNumId w:val="3"/>
  </w:num>
  <w:num w:numId="16">
    <w:abstractNumId w:val="2"/>
  </w:num>
  <w:num w:numId="17">
    <w:abstractNumId w:val="22"/>
  </w:num>
  <w:num w:numId="18">
    <w:abstractNumId w:val="6"/>
  </w:num>
  <w:num w:numId="19">
    <w:abstractNumId w:val="17"/>
  </w:num>
  <w:num w:numId="20">
    <w:abstractNumId w:val="13"/>
  </w:num>
  <w:num w:numId="21">
    <w:abstractNumId w:val="1"/>
  </w:num>
  <w:num w:numId="22">
    <w:abstractNumId w:val="19"/>
  </w:num>
  <w:num w:numId="23">
    <w:abstractNumId w:val="16"/>
  </w:num>
  <w:num w:numId="24">
    <w:abstractNumId w:val="1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9C4"/>
    <w:rsid w:val="000056BB"/>
    <w:rsid w:val="00006611"/>
    <w:rsid w:val="0001024B"/>
    <w:rsid w:val="0002000F"/>
    <w:rsid w:val="000230C8"/>
    <w:rsid w:val="00027F66"/>
    <w:rsid w:val="00041DCB"/>
    <w:rsid w:val="000452AF"/>
    <w:rsid w:val="00050DDD"/>
    <w:rsid w:val="000642C5"/>
    <w:rsid w:val="00071987"/>
    <w:rsid w:val="00083561"/>
    <w:rsid w:val="00085CAA"/>
    <w:rsid w:val="00093DD7"/>
    <w:rsid w:val="00095CC3"/>
    <w:rsid w:val="000A4425"/>
    <w:rsid w:val="000A6776"/>
    <w:rsid w:val="000A7FE9"/>
    <w:rsid w:val="000B0B23"/>
    <w:rsid w:val="000B38D7"/>
    <w:rsid w:val="000C5D81"/>
    <w:rsid w:val="000C7F77"/>
    <w:rsid w:val="000E74C8"/>
    <w:rsid w:val="000F047D"/>
    <w:rsid w:val="000F509A"/>
    <w:rsid w:val="001145CC"/>
    <w:rsid w:val="00116F6F"/>
    <w:rsid w:val="00121497"/>
    <w:rsid w:val="00126D24"/>
    <w:rsid w:val="00127879"/>
    <w:rsid w:val="00131774"/>
    <w:rsid w:val="0013712D"/>
    <w:rsid w:val="00140121"/>
    <w:rsid w:val="00147947"/>
    <w:rsid w:val="00153439"/>
    <w:rsid w:val="00164FC3"/>
    <w:rsid w:val="001729C8"/>
    <w:rsid w:val="001763AD"/>
    <w:rsid w:val="00182845"/>
    <w:rsid w:val="001847C4"/>
    <w:rsid w:val="001849DE"/>
    <w:rsid w:val="00187D43"/>
    <w:rsid w:val="001977ED"/>
    <w:rsid w:val="001B0405"/>
    <w:rsid w:val="001D0B79"/>
    <w:rsid w:val="001D6D76"/>
    <w:rsid w:val="001E204F"/>
    <w:rsid w:val="001F203B"/>
    <w:rsid w:val="002048F7"/>
    <w:rsid w:val="00214041"/>
    <w:rsid w:val="00216BC6"/>
    <w:rsid w:val="00222E14"/>
    <w:rsid w:val="00232AC0"/>
    <w:rsid w:val="00236482"/>
    <w:rsid w:val="00240789"/>
    <w:rsid w:val="0025578A"/>
    <w:rsid w:val="00256BE5"/>
    <w:rsid w:val="00277687"/>
    <w:rsid w:val="00294109"/>
    <w:rsid w:val="002A391B"/>
    <w:rsid w:val="002A6551"/>
    <w:rsid w:val="002B103C"/>
    <w:rsid w:val="002B2E5C"/>
    <w:rsid w:val="002C0C06"/>
    <w:rsid w:val="002C4D8C"/>
    <w:rsid w:val="002D06FE"/>
    <w:rsid w:val="002E4309"/>
    <w:rsid w:val="002E75FC"/>
    <w:rsid w:val="002F0D74"/>
    <w:rsid w:val="00323BAA"/>
    <w:rsid w:val="00353016"/>
    <w:rsid w:val="00354CD5"/>
    <w:rsid w:val="003555CB"/>
    <w:rsid w:val="00357DD9"/>
    <w:rsid w:val="0037491F"/>
    <w:rsid w:val="0038683C"/>
    <w:rsid w:val="00397731"/>
    <w:rsid w:val="003A3FEA"/>
    <w:rsid w:val="003B2DF2"/>
    <w:rsid w:val="003B4258"/>
    <w:rsid w:val="003D3727"/>
    <w:rsid w:val="003D3DEC"/>
    <w:rsid w:val="003F3132"/>
    <w:rsid w:val="00426B6B"/>
    <w:rsid w:val="00426F76"/>
    <w:rsid w:val="00440B2B"/>
    <w:rsid w:val="0044656D"/>
    <w:rsid w:val="00460BAB"/>
    <w:rsid w:val="00462811"/>
    <w:rsid w:val="004777A3"/>
    <w:rsid w:val="004779D9"/>
    <w:rsid w:val="0049178A"/>
    <w:rsid w:val="00497D39"/>
    <w:rsid w:val="004A7497"/>
    <w:rsid w:val="004B3B94"/>
    <w:rsid w:val="004D6DF8"/>
    <w:rsid w:val="004F7B5D"/>
    <w:rsid w:val="0050030E"/>
    <w:rsid w:val="00505628"/>
    <w:rsid w:val="005149E0"/>
    <w:rsid w:val="005159AB"/>
    <w:rsid w:val="0051650A"/>
    <w:rsid w:val="0055576B"/>
    <w:rsid w:val="00561807"/>
    <w:rsid w:val="00566442"/>
    <w:rsid w:val="00576773"/>
    <w:rsid w:val="005869A5"/>
    <w:rsid w:val="005949ED"/>
    <w:rsid w:val="005960DA"/>
    <w:rsid w:val="005A0EBA"/>
    <w:rsid w:val="005A21AC"/>
    <w:rsid w:val="005A4268"/>
    <w:rsid w:val="005B5610"/>
    <w:rsid w:val="005B68EB"/>
    <w:rsid w:val="005C282F"/>
    <w:rsid w:val="005C3C69"/>
    <w:rsid w:val="005E1A23"/>
    <w:rsid w:val="005E2E3C"/>
    <w:rsid w:val="005F2C6D"/>
    <w:rsid w:val="00602996"/>
    <w:rsid w:val="00624541"/>
    <w:rsid w:val="00637002"/>
    <w:rsid w:val="00640CAC"/>
    <w:rsid w:val="006447EE"/>
    <w:rsid w:val="00656ABF"/>
    <w:rsid w:val="0066556E"/>
    <w:rsid w:val="00672A9D"/>
    <w:rsid w:val="00675B8A"/>
    <w:rsid w:val="006805E1"/>
    <w:rsid w:val="006943BA"/>
    <w:rsid w:val="006B02E2"/>
    <w:rsid w:val="006B7BC3"/>
    <w:rsid w:val="006C5A95"/>
    <w:rsid w:val="006D4746"/>
    <w:rsid w:val="006E3FB8"/>
    <w:rsid w:val="006F733B"/>
    <w:rsid w:val="007071E8"/>
    <w:rsid w:val="007150DE"/>
    <w:rsid w:val="0072361E"/>
    <w:rsid w:val="00730560"/>
    <w:rsid w:val="00741FC0"/>
    <w:rsid w:val="00744B6C"/>
    <w:rsid w:val="00747D4B"/>
    <w:rsid w:val="00753846"/>
    <w:rsid w:val="00753DE0"/>
    <w:rsid w:val="007575FC"/>
    <w:rsid w:val="00757B5A"/>
    <w:rsid w:val="00773E0A"/>
    <w:rsid w:val="0078638F"/>
    <w:rsid w:val="00792F29"/>
    <w:rsid w:val="007B377F"/>
    <w:rsid w:val="007B71B0"/>
    <w:rsid w:val="007C0555"/>
    <w:rsid w:val="007C62AA"/>
    <w:rsid w:val="007E2ED3"/>
    <w:rsid w:val="007E4ABC"/>
    <w:rsid w:val="007E54CA"/>
    <w:rsid w:val="007E5C87"/>
    <w:rsid w:val="007F24A0"/>
    <w:rsid w:val="007F3C55"/>
    <w:rsid w:val="007F41A5"/>
    <w:rsid w:val="007F79F8"/>
    <w:rsid w:val="00802C35"/>
    <w:rsid w:val="00805101"/>
    <w:rsid w:val="00824107"/>
    <w:rsid w:val="00841E7F"/>
    <w:rsid w:val="00850430"/>
    <w:rsid w:val="00852AB3"/>
    <w:rsid w:val="00856CD9"/>
    <w:rsid w:val="00863660"/>
    <w:rsid w:val="00863EDB"/>
    <w:rsid w:val="0087485B"/>
    <w:rsid w:val="0089068C"/>
    <w:rsid w:val="00894150"/>
    <w:rsid w:val="008B6B1F"/>
    <w:rsid w:val="008D0746"/>
    <w:rsid w:val="008D3117"/>
    <w:rsid w:val="008F17B6"/>
    <w:rsid w:val="00905542"/>
    <w:rsid w:val="00910876"/>
    <w:rsid w:val="00921C27"/>
    <w:rsid w:val="00934D73"/>
    <w:rsid w:val="0094152B"/>
    <w:rsid w:val="00952178"/>
    <w:rsid w:val="00975D0C"/>
    <w:rsid w:val="0098065D"/>
    <w:rsid w:val="0098078B"/>
    <w:rsid w:val="00982733"/>
    <w:rsid w:val="00991AB5"/>
    <w:rsid w:val="0099530D"/>
    <w:rsid w:val="0099727A"/>
    <w:rsid w:val="009C50E4"/>
    <w:rsid w:val="009D4F20"/>
    <w:rsid w:val="009E03AE"/>
    <w:rsid w:val="009E4195"/>
    <w:rsid w:val="009E4B3A"/>
    <w:rsid w:val="009E56B3"/>
    <w:rsid w:val="00A06A17"/>
    <w:rsid w:val="00A14BD7"/>
    <w:rsid w:val="00A16083"/>
    <w:rsid w:val="00A37194"/>
    <w:rsid w:val="00A46C62"/>
    <w:rsid w:val="00A472A7"/>
    <w:rsid w:val="00A60E37"/>
    <w:rsid w:val="00A7016E"/>
    <w:rsid w:val="00A70A03"/>
    <w:rsid w:val="00A77F67"/>
    <w:rsid w:val="00A80AC9"/>
    <w:rsid w:val="00A949FE"/>
    <w:rsid w:val="00A94FA8"/>
    <w:rsid w:val="00AA7EB8"/>
    <w:rsid w:val="00AD33E8"/>
    <w:rsid w:val="00AF3436"/>
    <w:rsid w:val="00AF42B6"/>
    <w:rsid w:val="00AF4979"/>
    <w:rsid w:val="00B04634"/>
    <w:rsid w:val="00B10E63"/>
    <w:rsid w:val="00B5797C"/>
    <w:rsid w:val="00B626B8"/>
    <w:rsid w:val="00B67441"/>
    <w:rsid w:val="00B74EF4"/>
    <w:rsid w:val="00B80255"/>
    <w:rsid w:val="00B95229"/>
    <w:rsid w:val="00B95617"/>
    <w:rsid w:val="00BA5F7E"/>
    <w:rsid w:val="00BA7033"/>
    <w:rsid w:val="00BB1F56"/>
    <w:rsid w:val="00BD708D"/>
    <w:rsid w:val="00BE0390"/>
    <w:rsid w:val="00C04349"/>
    <w:rsid w:val="00C14509"/>
    <w:rsid w:val="00C161DB"/>
    <w:rsid w:val="00C22D12"/>
    <w:rsid w:val="00C26507"/>
    <w:rsid w:val="00C32094"/>
    <w:rsid w:val="00C37168"/>
    <w:rsid w:val="00C408A9"/>
    <w:rsid w:val="00C45FC8"/>
    <w:rsid w:val="00C530FF"/>
    <w:rsid w:val="00C652CD"/>
    <w:rsid w:val="00C76C4C"/>
    <w:rsid w:val="00C84BC8"/>
    <w:rsid w:val="00C85677"/>
    <w:rsid w:val="00CB6962"/>
    <w:rsid w:val="00CC46A9"/>
    <w:rsid w:val="00CC49C4"/>
    <w:rsid w:val="00CD4035"/>
    <w:rsid w:val="00CD60B7"/>
    <w:rsid w:val="00CE698B"/>
    <w:rsid w:val="00CF3848"/>
    <w:rsid w:val="00D05558"/>
    <w:rsid w:val="00D221F6"/>
    <w:rsid w:val="00D2382E"/>
    <w:rsid w:val="00D26E8B"/>
    <w:rsid w:val="00D51D4A"/>
    <w:rsid w:val="00D56736"/>
    <w:rsid w:val="00D568E3"/>
    <w:rsid w:val="00D6077C"/>
    <w:rsid w:val="00D804EA"/>
    <w:rsid w:val="00D81276"/>
    <w:rsid w:val="00D97DFD"/>
    <w:rsid w:val="00DA647A"/>
    <w:rsid w:val="00DB5A87"/>
    <w:rsid w:val="00DB74CB"/>
    <w:rsid w:val="00DC0B43"/>
    <w:rsid w:val="00DC0E5D"/>
    <w:rsid w:val="00DC1B3C"/>
    <w:rsid w:val="00DD34DE"/>
    <w:rsid w:val="00DD55C1"/>
    <w:rsid w:val="00DF5B72"/>
    <w:rsid w:val="00DF5BAA"/>
    <w:rsid w:val="00DF6732"/>
    <w:rsid w:val="00E04439"/>
    <w:rsid w:val="00E10847"/>
    <w:rsid w:val="00E11999"/>
    <w:rsid w:val="00E17237"/>
    <w:rsid w:val="00E26F3A"/>
    <w:rsid w:val="00E31ED8"/>
    <w:rsid w:val="00E43CCD"/>
    <w:rsid w:val="00E44BBB"/>
    <w:rsid w:val="00E461C3"/>
    <w:rsid w:val="00E51325"/>
    <w:rsid w:val="00E51B63"/>
    <w:rsid w:val="00E60ACD"/>
    <w:rsid w:val="00E76BF9"/>
    <w:rsid w:val="00E85209"/>
    <w:rsid w:val="00E8609F"/>
    <w:rsid w:val="00E95A8B"/>
    <w:rsid w:val="00E95D89"/>
    <w:rsid w:val="00E966E0"/>
    <w:rsid w:val="00EB050D"/>
    <w:rsid w:val="00EC2BF1"/>
    <w:rsid w:val="00F064CD"/>
    <w:rsid w:val="00F24BA4"/>
    <w:rsid w:val="00F31A23"/>
    <w:rsid w:val="00F3399B"/>
    <w:rsid w:val="00F40C01"/>
    <w:rsid w:val="00F4743A"/>
    <w:rsid w:val="00F503C9"/>
    <w:rsid w:val="00F54B25"/>
    <w:rsid w:val="00F65730"/>
    <w:rsid w:val="00F823FB"/>
    <w:rsid w:val="00F85438"/>
    <w:rsid w:val="00F97363"/>
    <w:rsid w:val="00FA110C"/>
    <w:rsid w:val="00FB211F"/>
    <w:rsid w:val="00FB75F1"/>
    <w:rsid w:val="00FD48C1"/>
    <w:rsid w:val="00FE169C"/>
    <w:rsid w:val="00FF2FDD"/>
    <w:rsid w:val="015A6425"/>
    <w:rsid w:val="01E73B40"/>
    <w:rsid w:val="020A41C5"/>
    <w:rsid w:val="022B641D"/>
    <w:rsid w:val="02856F0D"/>
    <w:rsid w:val="03437791"/>
    <w:rsid w:val="038635A7"/>
    <w:rsid w:val="043D5C66"/>
    <w:rsid w:val="050B477E"/>
    <w:rsid w:val="054E022B"/>
    <w:rsid w:val="05C05EA6"/>
    <w:rsid w:val="06D40429"/>
    <w:rsid w:val="0D932914"/>
    <w:rsid w:val="0DE52ABA"/>
    <w:rsid w:val="102266F8"/>
    <w:rsid w:val="11A21C4C"/>
    <w:rsid w:val="11B139BD"/>
    <w:rsid w:val="130B3251"/>
    <w:rsid w:val="139A6C48"/>
    <w:rsid w:val="13CB5CCE"/>
    <w:rsid w:val="142F46DD"/>
    <w:rsid w:val="14B06287"/>
    <w:rsid w:val="14D177C2"/>
    <w:rsid w:val="16056DEB"/>
    <w:rsid w:val="161A0F7E"/>
    <w:rsid w:val="17210DFB"/>
    <w:rsid w:val="18F66F6A"/>
    <w:rsid w:val="19DF19AD"/>
    <w:rsid w:val="1A575A67"/>
    <w:rsid w:val="1B7E3D10"/>
    <w:rsid w:val="1C282136"/>
    <w:rsid w:val="1D360531"/>
    <w:rsid w:val="213017D2"/>
    <w:rsid w:val="230226DD"/>
    <w:rsid w:val="236C6E82"/>
    <w:rsid w:val="23FC4BDD"/>
    <w:rsid w:val="243C541A"/>
    <w:rsid w:val="261C6A3E"/>
    <w:rsid w:val="273B1EF3"/>
    <w:rsid w:val="28263496"/>
    <w:rsid w:val="2AE33125"/>
    <w:rsid w:val="2B445781"/>
    <w:rsid w:val="2BA17230"/>
    <w:rsid w:val="2CB07049"/>
    <w:rsid w:val="2D103301"/>
    <w:rsid w:val="2DE615D2"/>
    <w:rsid w:val="2E445733"/>
    <w:rsid w:val="2FF1238E"/>
    <w:rsid w:val="2FF8185A"/>
    <w:rsid w:val="307424CB"/>
    <w:rsid w:val="31256401"/>
    <w:rsid w:val="3227200A"/>
    <w:rsid w:val="327B048C"/>
    <w:rsid w:val="329C21F0"/>
    <w:rsid w:val="33A2083F"/>
    <w:rsid w:val="34215D20"/>
    <w:rsid w:val="34786F0A"/>
    <w:rsid w:val="350F4C0D"/>
    <w:rsid w:val="3679212B"/>
    <w:rsid w:val="36C179D9"/>
    <w:rsid w:val="37053A3C"/>
    <w:rsid w:val="37486FDA"/>
    <w:rsid w:val="38452797"/>
    <w:rsid w:val="38F1571B"/>
    <w:rsid w:val="3AF72CE0"/>
    <w:rsid w:val="3B0B496B"/>
    <w:rsid w:val="3D4E5552"/>
    <w:rsid w:val="3D872FB8"/>
    <w:rsid w:val="3DE45A55"/>
    <w:rsid w:val="3EA00E4C"/>
    <w:rsid w:val="3ECC14FE"/>
    <w:rsid w:val="3FCC03F4"/>
    <w:rsid w:val="40620DBC"/>
    <w:rsid w:val="40685F6A"/>
    <w:rsid w:val="408815FE"/>
    <w:rsid w:val="412A43CF"/>
    <w:rsid w:val="41550346"/>
    <w:rsid w:val="42573D1A"/>
    <w:rsid w:val="43577322"/>
    <w:rsid w:val="45F37EBD"/>
    <w:rsid w:val="48392751"/>
    <w:rsid w:val="488C59B2"/>
    <w:rsid w:val="48F6178A"/>
    <w:rsid w:val="49EA2F3B"/>
    <w:rsid w:val="4A3A7492"/>
    <w:rsid w:val="4AB950A4"/>
    <w:rsid w:val="4BD555B3"/>
    <w:rsid w:val="4C387A56"/>
    <w:rsid w:val="4C772AA3"/>
    <w:rsid w:val="4CA057CA"/>
    <w:rsid w:val="4CDD7CB7"/>
    <w:rsid w:val="4DAB7411"/>
    <w:rsid w:val="4EC50142"/>
    <w:rsid w:val="4F1C589E"/>
    <w:rsid w:val="4F695D3B"/>
    <w:rsid w:val="508A2E1B"/>
    <w:rsid w:val="52E15C80"/>
    <w:rsid w:val="53D54AC4"/>
    <w:rsid w:val="54A0741D"/>
    <w:rsid w:val="571546C0"/>
    <w:rsid w:val="595B5033"/>
    <w:rsid w:val="5AA24318"/>
    <w:rsid w:val="5AB00D0D"/>
    <w:rsid w:val="5AE06CA3"/>
    <w:rsid w:val="5B7F1CA7"/>
    <w:rsid w:val="5C111708"/>
    <w:rsid w:val="5C964072"/>
    <w:rsid w:val="5D100CD5"/>
    <w:rsid w:val="5F64365D"/>
    <w:rsid w:val="600324D5"/>
    <w:rsid w:val="61A04F54"/>
    <w:rsid w:val="61B85077"/>
    <w:rsid w:val="622C7AAC"/>
    <w:rsid w:val="628B4535"/>
    <w:rsid w:val="63492F81"/>
    <w:rsid w:val="63F35201"/>
    <w:rsid w:val="64326624"/>
    <w:rsid w:val="67392FAA"/>
    <w:rsid w:val="676E51FB"/>
    <w:rsid w:val="67751BEF"/>
    <w:rsid w:val="68591486"/>
    <w:rsid w:val="6866248F"/>
    <w:rsid w:val="6889060F"/>
    <w:rsid w:val="68B8124B"/>
    <w:rsid w:val="6DDE1464"/>
    <w:rsid w:val="6E851D9F"/>
    <w:rsid w:val="6F733690"/>
    <w:rsid w:val="70F847F9"/>
    <w:rsid w:val="73070530"/>
    <w:rsid w:val="73C24A2C"/>
    <w:rsid w:val="743C16D6"/>
    <w:rsid w:val="747A38FA"/>
    <w:rsid w:val="75D53530"/>
    <w:rsid w:val="76266786"/>
    <w:rsid w:val="771B6024"/>
    <w:rsid w:val="77EA28C1"/>
    <w:rsid w:val="78120270"/>
    <w:rsid w:val="78AB22AF"/>
    <w:rsid w:val="79346F9C"/>
    <w:rsid w:val="7B5B145C"/>
    <w:rsid w:val="7C8C1688"/>
    <w:rsid w:val="7D6E54E8"/>
    <w:rsid w:val="7E3E39FC"/>
    <w:rsid w:val="7F8D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rFonts w:eastAsia="微软雅黑" w:asciiTheme="minorAscii" w:hAnsiTheme="minorAscii"/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eastAsia="微软雅黑" w:asciiTheme="majorAscii" w:hAnsiTheme="majorAscii" w:cstheme="majorBidi"/>
      <w:b/>
      <w:bCs/>
      <w:sz w:val="28"/>
      <w:szCs w:val="32"/>
    </w:rPr>
  </w:style>
  <w:style w:type="paragraph" w:styleId="4">
    <w:name w:val="heading 3"/>
    <w:basedOn w:val="1"/>
    <w:next w:val="1"/>
    <w:link w:val="33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微软雅黑" w:asciiTheme="minorAscii" w:hAnsiTheme="minorAscii"/>
      <w:b/>
      <w:bCs/>
      <w:sz w:val="24"/>
      <w:szCs w:val="32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微软雅黑"/>
      <w:b/>
      <w:sz w:val="21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uiPriority w:val="39"/>
    <w:pPr>
      <w:ind w:left="840" w:leftChars="400"/>
    </w:pPr>
    <w:rPr>
      <w:rFonts w:eastAsia="微软雅黑" w:asciiTheme="minorAscii" w:hAnsiTheme="minorAscii"/>
      <w:sz w:val="24"/>
    </w:rPr>
  </w:style>
  <w:style w:type="paragraph" w:styleId="7">
    <w:name w:val="Date"/>
    <w:basedOn w:val="1"/>
    <w:next w:val="1"/>
    <w:link w:val="35"/>
    <w:semiHidden/>
    <w:unhideWhenUsed/>
    <w:uiPriority w:val="99"/>
    <w:pPr>
      <w:ind w:left="100" w:leftChars="2500"/>
    </w:pPr>
  </w:style>
  <w:style w:type="paragraph" w:styleId="8">
    <w:name w:val="Balloon Text"/>
    <w:basedOn w:val="1"/>
    <w:link w:val="30"/>
    <w:semiHidden/>
    <w:unhideWhenUsed/>
    <w:uiPriority w:val="99"/>
    <w:rPr>
      <w:sz w:val="18"/>
      <w:szCs w:val="18"/>
    </w:rPr>
  </w:style>
  <w:style w:type="paragraph" w:styleId="9">
    <w:name w:val="footer"/>
    <w:basedOn w:val="1"/>
    <w:link w:val="2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rPr>
      <w:rFonts w:eastAsia="微软雅黑" w:asciiTheme="minorAscii" w:hAnsiTheme="minorAscii"/>
      <w:sz w:val="30"/>
    </w:rPr>
  </w:style>
  <w:style w:type="paragraph" w:styleId="12">
    <w:name w:val="toc 4"/>
    <w:basedOn w:val="1"/>
    <w:next w:val="1"/>
    <w:semiHidden/>
    <w:unhideWhenUsed/>
    <w:uiPriority w:val="39"/>
    <w:pPr>
      <w:ind w:left="1260" w:leftChars="600"/>
    </w:pPr>
    <w:rPr>
      <w:rFonts w:eastAsia="微软雅黑" w:asciiTheme="minorAscii" w:hAnsiTheme="minorAscii"/>
    </w:rPr>
  </w:style>
  <w:style w:type="paragraph" w:styleId="13">
    <w:name w:val="toc 2"/>
    <w:basedOn w:val="1"/>
    <w:next w:val="1"/>
    <w:unhideWhenUsed/>
    <w:uiPriority w:val="39"/>
    <w:pPr>
      <w:ind w:left="420" w:leftChars="200"/>
    </w:pPr>
    <w:rPr>
      <w:rFonts w:eastAsia="微软雅黑" w:asciiTheme="minorAscii" w:hAnsiTheme="minorAscii"/>
      <w:sz w:val="28"/>
    </w:rPr>
  </w:style>
  <w:style w:type="character" w:styleId="16">
    <w:name w:val="Strong"/>
    <w:basedOn w:val="15"/>
    <w:qFormat/>
    <w:uiPriority w:val="22"/>
    <w:rPr>
      <w:b/>
    </w:rPr>
  </w:style>
  <w:style w:type="character" w:styleId="17">
    <w:name w:val="FollowedHyperlink"/>
    <w:basedOn w:val="15"/>
    <w:semiHidden/>
    <w:unhideWhenUsed/>
    <w:qFormat/>
    <w:uiPriority w:val="99"/>
    <w:rPr>
      <w:color w:val="202020"/>
      <w:u w:val="none"/>
    </w:rPr>
  </w:style>
  <w:style w:type="character" w:styleId="18">
    <w:name w:val="Emphasis"/>
    <w:basedOn w:val="15"/>
    <w:qFormat/>
    <w:uiPriority w:val="20"/>
  </w:style>
  <w:style w:type="character" w:styleId="19">
    <w:name w:val="HTML Definition"/>
    <w:basedOn w:val="15"/>
    <w:semiHidden/>
    <w:unhideWhenUsed/>
    <w:uiPriority w:val="99"/>
  </w:style>
  <w:style w:type="character" w:styleId="20">
    <w:name w:val="HTML Variable"/>
    <w:basedOn w:val="15"/>
    <w:semiHidden/>
    <w:unhideWhenUsed/>
    <w:uiPriority w:val="99"/>
  </w:style>
  <w:style w:type="character" w:styleId="21">
    <w:name w:val="Hyperlink"/>
    <w:basedOn w:val="1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22">
    <w:name w:val="HTML Code"/>
    <w:basedOn w:val="15"/>
    <w:semiHidden/>
    <w:unhideWhenUsed/>
    <w:qFormat/>
    <w:uiPriority w:val="99"/>
    <w:rPr>
      <w:rFonts w:hint="default" w:ascii="Monaco" w:hAnsi="Monaco" w:eastAsia="Monaco" w:cs="Monaco"/>
      <w:color w:val="C7254E"/>
      <w:sz w:val="21"/>
      <w:szCs w:val="21"/>
      <w:shd w:val="clear" w:fill="F9F2F4"/>
    </w:rPr>
  </w:style>
  <w:style w:type="character" w:styleId="23">
    <w:name w:val="HTML Cite"/>
    <w:basedOn w:val="15"/>
    <w:semiHidden/>
    <w:unhideWhenUsed/>
    <w:qFormat/>
    <w:uiPriority w:val="99"/>
  </w:style>
  <w:style w:type="character" w:styleId="24">
    <w:name w:val="HTML Keyboard"/>
    <w:basedOn w:val="15"/>
    <w:semiHidden/>
    <w:unhideWhenUsed/>
    <w:qFormat/>
    <w:uiPriority w:val="99"/>
    <w:rPr>
      <w:rFonts w:ascii="Monaco" w:hAnsi="Monaco" w:eastAsia="Monaco" w:cs="Monaco"/>
      <w:color w:val="FFFFFF"/>
      <w:sz w:val="21"/>
      <w:szCs w:val="21"/>
      <w:shd w:val="clear" w:fill="333333"/>
    </w:rPr>
  </w:style>
  <w:style w:type="character" w:styleId="25">
    <w:name w:val="HTML Sample"/>
    <w:basedOn w:val="15"/>
    <w:semiHidden/>
    <w:unhideWhenUsed/>
    <w:qFormat/>
    <w:uiPriority w:val="99"/>
    <w:rPr>
      <w:rFonts w:hint="default" w:ascii="Monaco" w:hAnsi="Monaco" w:eastAsia="Monaco" w:cs="Monaco"/>
      <w:sz w:val="21"/>
      <w:szCs w:val="21"/>
    </w:rPr>
  </w:style>
  <w:style w:type="character" w:customStyle="1" w:styleId="26">
    <w:name w:val="页眉 Char"/>
    <w:basedOn w:val="15"/>
    <w:link w:val="10"/>
    <w:qFormat/>
    <w:uiPriority w:val="99"/>
    <w:rPr>
      <w:sz w:val="18"/>
      <w:szCs w:val="18"/>
    </w:rPr>
  </w:style>
  <w:style w:type="character" w:customStyle="1" w:styleId="27">
    <w:name w:val="页脚 Char"/>
    <w:basedOn w:val="15"/>
    <w:link w:val="9"/>
    <w:qFormat/>
    <w:uiPriority w:val="99"/>
    <w:rPr>
      <w:sz w:val="18"/>
      <w:szCs w:val="18"/>
    </w:rPr>
  </w:style>
  <w:style w:type="paragraph" w:styleId="28">
    <w:name w:val="No Spacing"/>
    <w:link w:val="29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9">
    <w:name w:val="无间隔 Char"/>
    <w:basedOn w:val="15"/>
    <w:link w:val="28"/>
    <w:qFormat/>
    <w:uiPriority w:val="1"/>
    <w:rPr>
      <w:kern w:val="0"/>
      <w:sz w:val="22"/>
    </w:rPr>
  </w:style>
  <w:style w:type="character" w:customStyle="1" w:styleId="30">
    <w:name w:val="批注框文本 Char"/>
    <w:basedOn w:val="15"/>
    <w:link w:val="8"/>
    <w:semiHidden/>
    <w:qFormat/>
    <w:uiPriority w:val="99"/>
    <w:rPr>
      <w:sz w:val="18"/>
      <w:szCs w:val="18"/>
    </w:rPr>
  </w:style>
  <w:style w:type="character" w:customStyle="1" w:styleId="31">
    <w:name w:val="标题 1 Char"/>
    <w:basedOn w:val="15"/>
    <w:link w:val="2"/>
    <w:qFormat/>
    <w:uiPriority w:val="9"/>
    <w:rPr>
      <w:rFonts w:eastAsia="微软雅黑" w:asciiTheme="minorAscii" w:hAnsiTheme="minorAscii"/>
      <w:b/>
      <w:bCs/>
      <w:kern w:val="44"/>
      <w:sz w:val="30"/>
      <w:szCs w:val="44"/>
    </w:rPr>
  </w:style>
  <w:style w:type="character" w:customStyle="1" w:styleId="32">
    <w:name w:val="标题 2 Char"/>
    <w:basedOn w:val="15"/>
    <w:link w:val="3"/>
    <w:qFormat/>
    <w:uiPriority w:val="9"/>
    <w:rPr>
      <w:rFonts w:eastAsia="微软雅黑" w:asciiTheme="majorAscii" w:hAnsiTheme="majorAscii" w:cstheme="majorBidi"/>
      <w:b/>
      <w:bCs/>
      <w:sz w:val="28"/>
      <w:szCs w:val="32"/>
    </w:rPr>
  </w:style>
  <w:style w:type="character" w:customStyle="1" w:styleId="33">
    <w:name w:val="标题 3 Char"/>
    <w:basedOn w:val="15"/>
    <w:link w:val="4"/>
    <w:qFormat/>
    <w:uiPriority w:val="9"/>
    <w:rPr>
      <w:rFonts w:eastAsia="微软雅黑" w:asciiTheme="minorAscii" w:hAnsiTheme="minorAscii"/>
      <w:b/>
      <w:bCs/>
      <w:sz w:val="24"/>
      <w:szCs w:val="32"/>
    </w:rPr>
  </w:style>
  <w:style w:type="paragraph" w:styleId="34">
    <w:name w:val="List Paragraph"/>
    <w:basedOn w:val="1"/>
    <w:qFormat/>
    <w:uiPriority w:val="34"/>
    <w:pPr>
      <w:ind w:firstLine="420" w:firstLineChars="200"/>
    </w:pPr>
  </w:style>
  <w:style w:type="character" w:customStyle="1" w:styleId="35">
    <w:name w:val="日期 Char"/>
    <w:basedOn w:val="15"/>
    <w:link w:val="7"/>
    <w:semiHidden/>
    <w:qFormat/>
    <w:uiPriority w:val="99"/>
  </w:style>
  <w:style w:type="paragraph" w:customStyle="1" w:styleId="36">
    <w:name w:val="TOC Heading"/>
    <w:basedOn w:val="2"/>
    <w:next w:val="1"/>
    <w:semiHidden/>
    <w:unhideWhenUsed/>
    <w:qFormat/>
    <w:uiPriority w:val="39"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Cs w:val="28"/>
    </w:rPr>
  </w:style>
  <w:style w:type="character" w:customStyle="1" w:styleId="37">
    <w:name w:val="coupon_value"/>
    <w:basedOn w:val="15"/>
    <w:qFormat/>
    <w:uiPriority w:val="0"/>
    <w:rPr>
      <w:rFonts w:ascii="Impact" w:hAnsi="Impact" w:eastAsia="Impact" w:cs="Impact"/>
      <w:color w:val="FF5635"/>
      <w:sz w:val="108"/>
      <w:szCs w:val="108"/>
    </w:rPr>
  </w:style>
  <w:style w:type="character" w:customStyle="1" w:styleId="38">
    <w:name w:val="ico"/>
    <w:basedOn w:val="15"/>
    <w:qFormat/>
    <w:uiPriority w:val="0"/>
  </w:style>
  <w:style w:type="character" w:customStyle="1" w:styleId="39">
    <w:name w:val="vip"/>
    <w:basedOn w:val="15"/>
    <w:qFormat/>
    <w:uiPriority w:val="0"/>
    <w:rPr>
      <w:i/>
      <w:color w:val="FFFFFF"/>
      <w:shd w:val="clear" w:fill="138AF8"/>
    </w:rPr>
  </w:style>
  <w:style w:type="character" w:customStyle="1" w:styleId="40">
    <w:name w:val="fl"/>
    <w:basedOn w:val="15"/>
    <w:qFormat/>
    <w:uiPriority w:val="0"/>
    <w:rPr>
      <w:b/>
    </w:rPr>
  </w:style>
  <w:style w:type="character" w:customStyle="1" w:styleId="41">
    <w:name w:val="fc2"/>
    <w:basedOn w:val="15"/>
    <w:qFormat/>
    <w:uiPriority w:val="0"/>
  </w:style>
  <w:style w:type="character" w:customStyle="1" w:styleId="42">
    <w:name w:val="posi_btn"/>
    <w:basedOn w:val="15"/>
    <w:qFormat/>
    <w:uiPriority w:val="0"/>
    <w:rPr>
      <w:color w:val="666666"/>
    </w:rPr>
  </w:style>
  <w:style w:type="character" w:customStyle="1" w:styleId="43">
    <w:name w:val="layui-this"/>
    <w:basedOn w:val="15"/>
    <w:qFormat/>
    <w:uiPriority w:val="0"/>
    <w:rPr>
      <w:bdr w:val="single" w:color="EEEEEE" w:sz="6" w:space="0"/>
      <w:shd w:val="clear" w:fill="FFFFFF"/>
    </w:rPr>
  </w:style>
  <w:style w:type="character" w:customStyle="1" w:styleId="44">
    <w:name w:val="first-child1"/>
    <w:basedOn w:val="15"/>
    <w:qFormat/>
    <w:uiPriority w:val="0"/>
  </w:style>
  <w:style w:type="character" w:customStyle="1" w:styleId="45">
    <w:name w:val="hover22"/>
    <w:basedOn w:val="15"/>
    <w:qFormat/>
    <w:uiPriority w:val="0"/>
    <w:rPr>
      <w:shd w:val="clear" w:fill="EEEEEE"/>
    </w:rPr>
  </w:style>
  <w:style w:type="character" w:customStyle="1" w:styleId="46">
    <w:name w:val="active5"/>
    <w:basedOn w:val="15"/>
    <w:qFormat/>
    <w:uiPriority w:val="0"/>
    <w:rPr>
      <w:color w:val="FFFFFF"/>
      <w:shd w:val="clear" w:fill="337AB7"/>
    </w:rPr>
  </w:style>
  <w:style w:type="character" w:customStyle="1" w:styleId="47">
    <w:name w:val="old"/>
    <w:basedOn w:val="15"/>
    <w:qFormat/>
    <w:uiPriority w:val="0"/>
    <w:rPr>
      <w:color w:val="777777"/>
    </w:rPr>
  </w:style>
  <w:style w:type="character" w:customStyle="1" w:styleId="48">
    <w:name w:val="sp_caret"/>
    <w:basedOn w:val="15"/>
    <w:qFormat/>
    <w:uiPriority w:val="0"/>
  </w:style>
  <w:style w:type="character" w:customStyle="1" w:styleId="49">
    <w:name w:val="tag_close"/>
    <w:basedOn w:val="15"/>
    <w:qFormat/>
    <w:uiPriority w:val="0"/>
    <w:rPr>
      <w:rFonts w:ascii="Calibri" w:hAnsi="Calibri" w:eastAsia="Calibri" w:cs="Calibri"/>
      <w:sz w:val="21"/>
      <w:szCs w:val="21"/>
    </w:rPr>
  </w:style>
  <w:style w:type="character" w:customStyle="1" w:styleId="50">
    <w:name w:val="coupon_desc"/>
    <w:basedOn w:val="15"/>
    <w:qFormat/>
    <w:uiPriority w:val="0"/>
    <w:rPr>
      <w:rFonts w:ascii="微软雅黑" w:hAnsi="微软雅黑" w:eastAsia="微软雅黑" w:cs="微软雅黑"/>
      <w:color w:val="FF5635"/>
      <w:sz w:val="30"/>
      <w:szCs w:val="30"/>
    </w:rPr>
  </w:style>
  <w:style w:type="character" w:customStyle="1" w:styleId="51">
    <w:name w:val="jfy"/>
    <w:basedOn w:val="15"/>
    <w:qFormat/>
    <w:uiPriority w:val="0"/>
  </w:style>
  <w:style w:type="character" w:customStyle="1" w:styleId="52">
    <w:name w:val="btn-primary"/>
    <w:basedOn w:val="15"/>
    <w:qFormat/>
    <w:uiPriority w:val="0"/>
  </w:style>
  <w:style w:type="character" w:customStyle="1" w:styleId="53">
    <w:name w:val="fb2"/>
    <w:basedOn w:val="15"/>
    <w:qFormat/>
    <w:uiPriority w:val="0"/>
    <w:rPr>
      <w:bdr w:val="single" w:color="FFFFFF" w:sz="6" w:space="0"/>
    </w:rPr>
  </w:style>
  <w:style w:type="paragraph" w:customStyle="1" w:styleId="54">
    <w:name w:val="_Style 51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55">
    <w:name w:val="_Style 52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jpe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theme" Target="theme/theme1.xml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4" Type="http://schemas.openxmlformats.org/officeDocument/2006/relationships/fontTable" Target="fontTable.xml"/><Relationship Id="rId143" Type="http://schemas.openxmlformats.org/officeDocument/2006/relationships/customXml" Target="../customXml/item2.xml"/><Relationship Id="rId142" Type="http://schemas.openxmlformats.org/officeDocument/2006/relationships/numbering" Target="numbering.xml"/><Relationship Id="rId141" Type="http://schemas.openxmlformats.org/officeDocument/2006/relationships/customXml" Target="../customXml/item1.xml"/><Relationship Id="rId140" Type="http://schemas.openxmlformats.org/officeDocument/2006/relationships/image" Target="media/image137.jpe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206D09-A258-442B-A980-6A12486742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97</Pages>
  <Words>3447</Words>
  <Characters>19648</Characters>
  <Lines>163</Lines>
  <Paragraphs>46</Paragraphs>
  <TotalTime>8</TotalTime>
  <ScaleCrop>false</ScaleCrop>
  <LinksUpToDate>false</LinksUpToDate>
  <CharactersWithSpaces>23049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2017-01-23T01:18:00Z</dcterms:created>
  <dc:creator>曾亚娥</dc:creator>
  <cp:lastModifiedBy>曾亚娥</cp:lastModifiedBy>
  <dcterms:modified xsi:type="dcterms:W3CDTF">2020-04-09T01:41:09Z</dcterms:modified>
  <dc:title>建研家商城——商家手册</dc:title>
  <cp:revision>197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